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p>
      <w:pPr>
        <w:jc w:val="center"/>
      </w:pPr>
    </w:p>
    <w:p>
      <w:pPr>
        <w:jc w:val="center"/>
      </w:pPr>
    </w:p>
    <w:p>
      <w:pPr>
        <w:jc w:val="center"/>
      </w:pPr>
    </w:p>
    <w:p>
      <w:pPr>
        <w:jc w:val="center"/>
      </w:pPr>
      <w:r>
        <w:drawing>
          <wp:anchor distT="0" distB="0" distL="114300" distR="114300" simplePos="0" relativeHeight="251659264" behindDoc="1" locked="0" layoutInCell="1" allowOverlap="1">
            <wp:simplePos x="0" y="0"/>
            <wp:positionH relativeFrom="column">
              <wp:posOffset>1914525</wp:posOffset>
            </wp:positionH>
            <wp:positionV relativeFrom="paragraph">
              <wp:posOffset>51435</wp:posOffset>
            </wp:positionV>
            <wp:extent cx="1711960" cy="1901825"/>
            <wp:effectExtent l="0" t="0" r="0" b="0"/>
            <wp:wrapNone/>
            <wp:docPr id="2"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认证logo1"/>
                    <pic:cNvPicPr>
                      <a:picLocks noChangeAspect="1" noChangeArrowheads="1"/>
                    </pic:cNvPicPr>
                  </pic:nvPicPr>
                  <pic:blipFill>
                    <a:blip r:embed="rId5" cstate="print"/>
                    <a:srcRect/>
                    <a:stretch>
                      <a:fillRect/>
                    </a:stretch>
                  </pic:blipFill>
                  <pic:spPr>
                    <a:xfrm>
                      <a:off x="0" y="0"/>
                      <a:ext cx="1711757" cy="1901952"/>
                    </a:xfrm>
                    <a:prstGeom prst="rect">
                      <a:avLst/>
                    </a:prstGeom>
                    <a:noFill/>
                  </pic:spPr>
                </pic:pic>
              </a:graphicData>
            </a:graphic>
          </wp:anchor>
        </w:drawing>
      </w:r>
    </w:p>
    <w:p>
      <w:pPr>
        <w:jc w:val="center"/>
      </w:pPr>
    </w:p>
    <w:p>
      <w:pPr>
        <w:jc w:val="center"/>
      </w:pPr>
    </w:p>
    <w:p>
      <w:pPr>
        <w:jc w:val="center"/>
      </w:pPr>
    </w:p>
    <w:p>
      <w:pPr>
        <w:jc w:val="center"/>
      </w:pPr>
    </w:p>
    <w:p/>
    <w:p>
      <w:pPr>
        <w:spacing w:line="0" w:lineRule="atLeast"/>
        <w:rPr>
          <w:rFonts w:ascii="宋体" w:hAnsi="宋体"/>
          <w:sz w:val="48"/>
        </w:rPr>
      </w:pPr>
    </w:p>
    <w:p>
      <w:pPr>
        <w:spacing w:line="0" w:lineRule="atLeast"/>
        <w:rPr>
          <w:rFonts w:ascii="宋体" w:hAnsi="宋体"/>
          <w:sz w:val="48"/>
        </w:rPr>
      </w:pPr>
    </w:p>
    <w:p>
      <w:pPr>
        <w:spacing w:line="0" w:lineRule="atLeast"/>
        <w:rPr>
          <w:rFonts w:ascii="宋体" w:hAnsi="宋体"/>
          <w:sz w:val="24"/>
          <w:szCs w:val="15"/>
        </w:rPr>
      </w:pPr>
    </w:p>
    <w:p>
      <w:pPr>
        <w:spacing w:line="500" w:lineRule="exact"/>
        <w:rPr>
          <w:rFonts w:ascii="宋体" w:hAnsi="宋体"/>
          <w:sz w:val="40"/>
          <w:szCs w:val="21"/>
        </w:rPr>
      </w:pPr>
    </w:p>
    <w:p>
      <w:pPr>
        <w:adjustRightInd w:val="0"/>
        <w:snapToGrid w:val="0"/>
        <w:spacing w:line="500" w:lineRule="exact"/>
        <w:ind w:firstLine="57"/>
        <w:jc w:val="center"/>
        <w:rPr>
          <w:rFonts w:ascii="宋体" w:hAnsi="宋体"/>
          <w:b/>
          <w:sz w:val="44"/>
          <w:szCs w:val="44"/>
        </w:rPr>
      </w:pPr>
      <w:r>
        <w:rPr>
          <w:rFonts w:hint="eastAsia" w:ascii="宋体" w:hAnsi="宋体"/>
          <w:b/>
          <w:sz w:val="44"/>
          <w:szCs w:val="44"/>
        </w:rPr>
        <w:t>测量管理体系</w:t>
      </w:r>
    </w:p>
    <w:p>
      <w:pPr>
        <w:adjustRightInd w:val="0"/>
        <w:snapToGrid w:val="0"/>
        <w:spacing w:line="400" w:lineRule="exact"/>
        <w:ind w:firstLine="57"/>
        <w:jc w:val="center"/>
        <w:rPr>
          <w:rFonts w:ascii="宋体" w:hAnsi="宋体"/>
          <w:b/>
          <w:bCs/>
          <w:sz w:val="32"/>
          <w:szCs w:val="32"/>
        </w:rPr>
      </w:pPr>
      <w:r>
        <w:rPr>
          <w:rFonts w:hint="eastAsia" w:ascii="宋体" w:hAnsi="宋体"/>
          <w:b/>
          <w:bCs/>
          <w:sz w:val="32"/>
          <w:szCs w:val="32"/>
        </w:rPr>
        <w:t>（</w:t>
      </w:r>
      <w:bookmarkStart w:id="0" w:name="审核依据"/>
      <w:r>
        <w:rPr>
          <w:rFonts w:hint="eastAsia" w:ascii="宋体" w:hAnsi="宋体"/>
          <w:b/>
          <w:bCs/>
          <w:sz w:val="32"/>
          <w:szCs w:val="32"/>
        </w:rPr>
        <w:t>GB/T19022-2003/ISO10012:2003</w:t>
      </w:r>
      <w:bookmarkEnd w:id="0"/>
      <w:r>
        <w:rPr>
          <w:rFonts w:hint="eastAsia" w:ascii="宋体" w:hAnsi="宋体"/>
          <w:b/>
          <w:bCs/>
          <w:sz w:val="32"/>
          <w:szCs w:val="32"/>
        </w:rPr>
        <w:t>）</w:t>
      </w:r>
    </w:p>
    <w:p>
      <w:pPr>
        <w:widowControl/>
        <w:jc w:val="center"/>
        <w:rPr>
          <w:rFonts w:ascii="宋体" w:hAnsi="宋体"/>
          <w:b/>
          <w:sz w:val="48"/>
          <w:szCs w:val="48"/>
        </w:rPr>
      </w:pPr>
      <w:r>
        <w:rPr>
          <w:rFonts w:hint="eastAsia" w:ascii="宋体" w:hAnsi="宋体"/>
          <w:b/>
          <w:sz w:val="48"/>
          <w:szCs w:val="48"/>
        </w:rPr>
        <w:t>监督审核报告</w:t>
      </w:r>
    </w:p>
    <w:p>
      <w:pPr>
        <w:widowControl/>
        <w:rPr>
          <w:rFonts w:ascii="宋体" w:hAnsi="宋体"/>
          <w:b/>
          <w:sz w:val="52"/>
          <w:szCs w:val="52"/>
        </w:rPr>
      </w:pPr>
    </w:p>
    <w:p>
      <w:pPr>
        <w:widowControl/>
        <w:rPr>
          <w:rFonts w:ascii="宋体" w:hAnsi="宋体"/>
          <w:b/>
          <w:sz w:val="52"/>
          <w:szCs w:val="52"/>
        </w:rPr>
      </w:pPr>
    </w:p>
    <w:p>
      <w:pPr>
        <w:widowControl/>
        <w:rPr>
          <w:rFonts w:ascii="宋体" w:hAnsi="宋体"/>
          <w:b/>
          <w:sz w:val="52"/>
          <w:szCs w:val="52"/>
        </w:rPr>
      </w:pPr>
    </w:p>
    <w:p>
      <w:pPr>
        <w:spacing w:line="365" w:lineRule="exact"/>
        <w:rPr>
          <w:rFonts w:ascii="宋体" w:hAnsi="宋体"/>
          <w:sz w:val="32"/>
          <w:szCs w:val="24"/>
        </w:rPr>
      </w:pPr>
    </w:p>
    <w:p>
      <w:pPr>
        <w:spacing w:line="365" w:lineRule="exact"/>
        <w:rPr>
          <w:rFonts w:ascii="宋体" w:hAnsi="宋体"/>
          <w:sz w:val="32"/>
        </w:rPr>
      </w:pPr>
    </w:p>
    <w:p>
      <w:pPr>
        <w:spacing w:line="360" w:lineRule="auto"/>
        <w:jc w:val="left"/>
        <w:rPr>
          <w:rFonts w:ascii="宋体" w:hAnsi="宋体"/>
          <w:sz w:val="24"/>
          <w:u w:val="single"/>
        </w:rPr>
      </w:pPr>
      <w:r>
        <w:rPr>
          <w:rFonts w:hint="eastAsia" w:ascii="宋体" w:hAnsi="宋体"/>
          <w:sz w:val="32"/>
        </w:rPr>
        <w:t>认 证 企 业</w:t>
      </w:r>
      <w:r>
        <w:rPr>
          <w:rFonts w:hint="eastAsia" w:ascii="MS PGothic" w:hAnsi="MS PGothic"/>
          <w:sz w:val="32"/>
        </w:rPr>
        <w:t>：</w:t>
      </w:r>
      <w:bookmarkStart w:id="1" w:name="组织名称"/>
      <w:r>
        <w:rPr>
          <w:rFonts w:hint="eastAsia" w:ascii="宋体" w:hAnsi="宋体"/>
          <w:sz w:val="32"/>
          <w:u w:val="single"/>
        </w:rPr>
        <w:t>海南赛诺实业有限公司</w:t>
      </w:r>
      <w:bookmarkEnd w:id="1"/>
    </w:p>
    <w:p>
      <w:pPr>
        <w:spacing w:line="360" w:lineRule="auto"/>
        <w:jc w:val="left"/>
        <w:rPr>
          <w:rFonts w:ascii="宋体" w:hAnsi="宋体"/>
          <w:spacing w:val="32"/>
          <w:sz w:val="32"/>
          <w:u w:val="single"/>
        </w:rPr>
      </w:pPr>
      <w:r>
        <w:rPr>
          <w:rFonts w:hint="eastAsia" w:ascii="宋体" w:hAnsi="宋体"/>
          <w:spacing w:val="80"/>
          <w:sz w:val="32"/>
        </w:rPr>
        <w:t>编   号</w:t>
      </w:r>
      <w:r>
        <w:rPr>
          <w:rFonts w:hint="eastAsia" w:ascii="宋体" w:hAnsi="宋体"/>
          <w:sz w:val="32"/>
        </w:rPr>
        <w:t>：</w:t>
      </w:r>
      <w:bookmarkStart w:id="2" w:name="合同编号"/>
      <w:r>
        <w:rPr>
          <w:rFonts w:hint="eastAsia" w:ascii="宋体" w:hAnsi="宋体"/>
          <w:sz w:val="32"/>
          <w:u w:val="single"/>
        </w:rPr>
        <w:t>0117-2020-2021</w:t>
      </w:r>
      <w:bookmarkEnd w:id="2"/>
    </w:p>
    <w:p>
      <w:pPr>
        <w:spacing w:line="360" w:lineRule="auto"/>
        <w:jc w:val="left"/>
        <w:rPr>
          <w:rFonts w:ascii="宋体" w:hAnsi="宋体"/>
          <w:sz w:val="32"/>
        </w:rPr>
      </w:pPr>
      <w:r>
        <w:rPr>
          <w:rFonts w:hint="eastAsia" w:ascii="宋体" w:hAnsi="宋体"/>
          <w:spacing w:val="80"/>
          <w:sz w:val="32"/>
        </w:rPr>
        <w:t>审核类型</w:t>
      </w:r>
      <w:r>
        <w:rPr>
          <w:rFonts w:hint="eastAsia" w:ascii="MS PGothic" w:hAnsi="MS PGothic"/>
          <w:sz w:val="32"/>
        </w:rPr>
        <w:t>：</w:t>
      </w:r>
      <w:r>
        <w:rPr>
          <w:rFonts w:hint="eastAsia" w:ascii="宋体" w:hAnsi="宋体"/>
          <w:sz w:val="32"/>
          <w:u w:val="single"/>
        </w:rPr>
        <w:t>年度监督审核</w:t>
      </w:r>
    </w:p>
    <w:p>
      <w:pPr>
        <w:widowControl/>
        <w:spacing w:line="360" w:lineRule="auto"/>
        <w:ind w:right="360"/>
        <w:rPr>
          <w:rFonts w:ascii="宋体" w:hAnsi="宋体"/>
          <w:spacing w:val="80"/>
          <w:sz w:val="32"/>
        </w:rPr>
      </w:pPr>
    </w:p>
    <w:p>
      <w:pPr>
        <w:widowControl/>
        <w:spacing w:line="360" w:lineRule="auto"/>
        <w:ind w:right="360"/>
        <w:rPr>
          <w:rFonts w:ascii="Times New Roman" w:hAnsi="Times New Roman" w:eastAsia="宋体" w:cs="Times New Roman"/>
          <w:bCs/>
          <w:kern w:val="0"/>
          <w:sz w:val="18"/>
          <w:szCs w:val="18"/>
        </w:rPr>
      </w:pPr>
    </w:p>
    <w:p>
      <w:pPr>
        <w:widowControl/>
        <w:spacing w:line="360" w:lineRule="auto"/>
        <w:ind w:right="360"/>
        <w:rPr>
          <w:rFonts w:ascii="Times New Roman" w:hAnsi="Times New Roman" w:eastAsia="宋体" w:cs="Times New Roman"/>
          <w:bCs/>
          <w:kern w:val="0"/>
          <w:sz w:val="18"/>
          <w:szCs w:val="18"/>
        </w:rPr>
      </w:pPr>
    </w:p>
    <w:p>
      <w:pPr>
        <w:widowControl/>
        <w:spacing w:line="360" w:lineRule="auto"/>
        <w:jc w:val="right"/>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编号：</w:t>
      </w:r>
      <w:bookmarkStart w:id="3" w:name="合同编号Add"/>
      <w:r>
        <w:rPr>
          <w:rFonts w:ascii="Times New Roman" w:hAnsi="Times New Roman" w:eastAsia="宋体" w:cs="Times New Roman"/>
          <w:bCs/>
          <w:kern w:val="0"/>
          <w:sz w:val="18"/>
          <w:szCs w:val="18"/>
          <w:u w:val="single"/>
        </w:rPr>
        <w:t>0117-2020-2021</w:t>
      </w:r>
      <w:bookmarkEnd w:id="3"/>
    </w:p>
    <w:p>
      <w:pPr>
        <w:widowControl/>
        <w:spacing w:line="360" w:lineRule="auto"/>
        <w:jc w:val="center"/>
        <w:rPr>
          <w:rFonts w:ascii="宋体" w:hAnsi="宋体" w:eastAsia="宋体" w:cs="宋体"/>
          <w:b/>
          <w:bCs/>
          <w:kern w:val="0"/>
          <w:sz w:val="30"/>
          <w:szCs w:val="30"/>
        </w:rPr>
      </w:pPr>
      <w:r>
        <w:rPr>
          <w:rFonts w:ascii="宋体" w:hAnsi="宋体" w:eastAsia="宋体" w:cs="宋体"/>
          <w:b/>
          <w:bCs/>
          <w:kern w:val="0"/>
          <w:sz w:val="30"/>
          <w:szCs w:val="30"/>
        </w:rPr>
        <w:t>监督审核报告</w:t>
      </w:r>
    </w:p>
    <w:p>
      <w:pPr>
        <w:widowControl/>
        <w:spacing w:line="360" w:lineRule="auto"/>
        <w:rPr>
          <w:rFonts w:cs="宋体" w:asciiTheme="minorEastAsia" w:hAnsiTheme="minorEastAsia"/>
          <w:b/>
          <w:bCs/>
          <w:kern w:val="0"/>
          <w:szCs w:val="21"/>
        </w:rPr>
      </w:pPr>
      <w:r>
        <w:rPr>
          <w:rFonts w:hint="eastAsia" w:cs="宋体" w:asciiTheme="minorEastAsia" w:hAnsiTheme="minorEastAsia"/>
          <w:b/>
          <w:bCs/>
          <w:kern w:val="0"/>
          <w:szCs w:val="21"/>
        </w:rPr>
        <w:t>一、基本情况</w:t>
      </w:r>
    </w:p>
    <w:tbl>
      <w:tblPr>
        <w:tblStyle w:val="4"/>
        <w:tblW w:w="9220"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2900"/>
        <w:gridCol w:w="1930"/>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bCs/>
                <w:kern w:val="0"/>
                <w:szCs w:val="21"/>
              </w:rPr>
              <w:t>企业</w:t>
            </w:r>
            <w:r>
              <w:rPr>
                <w:rFonts w:cs="宋体" w:asciiTheme="minorEastAsia" w:hAnsiTheme="minorEastAsia"/>
                <w:kern w:val="0"/>
                <w:szCs w:val="21"/>
              </w:rPr>
              <w:t>名称</w:t>
            </w:r>
          </w:p>
        </w:tc>
        <w:tc>
          <w:tcPr>
            <w:tcW w:w="290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bookmarkStart w:id="4" w:name="组织名称Add1"/>
            <w:r>
              <w:rPr>
                <w:rFonts w:cs="宋体" w:asciiTheme="minorEastAsia" w:hAnsiTheme="minorEastAsia"/>
                <w:kern w:val="0"/>
                <w:szCs w:val="21"/>
              </w:rPr>
              <w:t>海南赛诺实业有限公司</w:t>
            </w:r>
            <w:bookmarkEnd w:id="4"/>
          </w:p>
        </w:tc>
        <w:tc>
          <w:tcPr>
            <w:tcW w:w="193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企业联系人</w:t>
            </w:r>
          </w:p>
        </w:tc>
        <w:tc>
          <w:tcPr>
            <w:tcW w:w="2541"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bookmarkStart w:id="5" w:name="联系人"/>
            <w:r>
              <w:rPr>
                <w:rFonts w:cs="宋体" w:asciiTheme="minorEastAsia" w:hAnsiTheme="minorEastAsia"/>
                <w:kern w:val="0"/>
                <w:szCs w:val="21"/>
              </w:rPr>
              <w:t>邢青涛</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认证证书编号</w:t>
            </w:r>
          </w:p>
        </w:tc>
        <w:tc>
          <w:tcPr>
            <w:tcW w:w="290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bookmarkStart w:id="6" w:name="证书编号"/>
            <w:r>
              <w:rPr>
                <w:rFonts w:cs="宋体" w:asciiTheme="minorEastAsia" w:hAnsiTheme="minorEastAsia"/>
                <w:kern w:val="0"/>
                <w:szCs w:val="21"/>
              </w:rPr>
              <w:t>ISC-2020-0759</w:t>
            </w:r>
            <w:bookmarkEnd w:id="6"/>
          </w:p>
        </w:tc>
        <w:tc>
          <w:tcPr>
            <w:tcW w:w="193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证书有效期</w:t>
            </w:r>
          </w:p>
        </w:tc>
        <w:tc>
          <w:tcPr>
            <w:tcW w:w="2541"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bookmarkStart w:id="7" w:name="证书有效期"/>
            <w:r>
              <w:rPr>
                <w:rFonts w:cs="宋体" w:asciiTheme="minorEastAsia" w:hAnsiTheme="minorEastAsia"/>
                <w:kern w:val="0"/>
                <w:szCs w:val="21"/>
              </w:rPr>
              <w:t>2025-07-06 0:00:00</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监督审核次数</w:t>
            </w:r>
          </w:p>
        </w:tc>
        <w:tc>
          <w:tcPr>
            <w:tcW w:w="2900" w:type="dxa"/>
          </w:tcPr>
          <w:p>
            <w:pPr>
              <w:tabs>
                <w:tab w:val="left" w:pos="880"/>
              </w:tabs>
              <w:autoSpaceDE w:val="0"/>
              <w:autoSpaceDN w:val="0"/>
              <w:adjustRightInd w:val="0"/>
              <w:spacing w:before="35" w:line="276" w:lineRule="auto"/>
              <w:ind w:right="161"/>
              <w:rPr>
                <w:rFonts w:hint="default" w:cs="宋体" w:asciiTheme="minorEastAsia" w:hAnsiTheme="minorEastAsia" w:eastAsiaTheme="minorEastAsia"/>
                <w:kern w:val="0"/>
                <w:szCs w:val="21"/>
                <w:lang w:val="en-US" w:eastAsia="zh-CN"/>
              </w:rPr>
            </w:pPr>
            <w:bookmarkStart w:id="8" w:name="监督次数"/>
            <w:r>
              <w:rPr>
                <w:rFonts w:hint="eastAsia" w:cs="宋体" w:asciiTheme="minorEastAsia" w:hAnsiTheme="minorEastAsia"/>
                <w:kern w:val="0"/>
                <w:szCs w:val="21"/>
                <w:lang w:val="en-US" w:eastAsia="zh-CN"/>
              </w:rPr>
              <w:t>第</w:t>
            </w:r>
            <w:r>
              <w:rPr>
                <w:rFonts w:cs="宋体" w:asciiTheme="minorEastAsia" w:hAnsiTheme="minorEastAsia"/>
                <w:kern w:val="0"/>
                <w:szCs w:val="21"/>
              </w:rPr>
              <w:t>一</w:t>
            </w:r>
            <w:bookmarkEnd w:id="8"/>
            <w:r>
              <w:rPr>
                <w:rFonts w:hint="eastAsia" w:cs="宋体" w:asciiTheme="minorEastAsia" w:hAnsiTheme="minorEastAsia"/>
                <w:kern w:val="0"/>
                <w:szCs w:val="21"/>
                <w:lang w:val="en-US" w:eastAsia="zh-CN"/>
              </w:rPr>
              <w:t>次监督审核</w:t>
            </w:r>
          </w:p>
        </w:tc>
        <w:tc>
          <w:tcPr>
            <w:tcW w:w="193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本次监督</w:t>
            </w:r>
            <w:r>
              <w:rPr>
                <w:rFonts w:cs="宋体" w:asciiTheme="minorEastAsia" w:hAnsiTheme="minorEastAsia"/>
                <w:color w:val="333333"/>
                <w:kern w:val="0"/>
                <w:szCs w:val="21"/>
              </w:rPr>
              <w:t>时间</w:t>
            </w:r>
          </w:p>
        </w:tc>
        <w:tc>
          <w:tcPr>
            <w:tcW w:w="2541" w:type="dxa"/>
          </w:tcPr>
          <w:p>
            <w:pPr>
              <w:tabs>
                <w:tab w:val="left" w:pos="880"/>
              </w:tabs>
              <w:autoSpaceDE w:val="0"/>
              <w:autoSpaceDN w:val="0"/>
              <w:adjustRightInd w:val="0"/>
              <w:spacing w:before="35" w:line="360" w:lineRule="auto"/>
              <w:ind w:right="161"/>
              <w:rPr>
                <w:rFonts w:hint="default" w:cs="宋体" w:asciiTheme="minorEastAsia" w:hAnsiTheme="minorEastAsia" w:eastAsiaTheme="minorEastAsia"/>
                <w:kern w:val="0"/>
                <w:szCs w:val="21"/>
                <w:lang w:val="en-US" w:eastAsia="zh-CN"/>
              </w:rPr>
            </w:pPr>
            <w:bookmarkStart w:id="9" w:name="审核开始日"/>
            <w:r>
              <w:rPr>
                <w:rFonts w:cs="宋体" w:asciiTheme="minorEastAsia" w:hAnsiTheme="minorEastAsia"/>
                <w:kern w:val="0"/>
                <w:szCs w:val="21"/>
              </w:rPr>
              <w:t>2021年06月10日 上午</w:t>
            </w:r>
            <w:bookmarkEnd w:id="9"/>
            <w:r>
              <w:rPr>
                <w:rFonts w:hint="eastAsia" w:cs="宋体" w:asciiTheme="minorEastAsia" w:hAnsiTheme="minorEastAsia"/>
                <w:kern w:val="0"/>
                <w:szCs w:val="21"/>
                <w:lang w:val="en-US" w:eastAsia="zh-CN"/>
              </w:rPr>
              <w:t>至2021年6月11日下午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849" w:type="dxa"/>
          </w:tcPr>
          <w:p>
            <w:pPr>
              <w:tabs>
                <w:tab w:val="left" w:pos="880"/>
              </w:tabs>
              <w:autoSpaceDE w:val="0"/>
              <w:autoSpaceDN w:val="0"/>
              <w:adjustRightInd w:val="0"/>
              <w:spacing w:before="35" w:line="276" w:lineRule="auto"/>
              <w:ind w:right="161" w:firstLine="105" w:firstLineChars="50"/>
              <w:rPr>
                <w:rFonts w:cs="宋体" w:asciiTheme="minorEastAsia" w:hAnsiTheme="minorEastAsia"/>
                <w:kern w:val="0"/>
                <w:szCs w:val="21"/>
              </w:rPr>
            </w:pPr>
            <w:r>
              <w:rPr>
                <w:rFonts w:hint="eastAsia" w:cs="宋体" w:asciiTheme="minorEastAsia" w:hAnsiTheme="minorEastAsia"/>
                <w:kern w:val="0"/>
                <w:szCs w:val="21"/>
              </w:rPr>
              <w:t>监督审核员</w:t>
            </w:r>
          </w:p>
          <w:p>
            <w:pPr>
              <w:tabs>
                <w:tab w:val="left" w:pos="880"/>
              </w:tabs>
              <w:autoSpaceDE w:val="0"/>
              <w:autoSpaceDN w:val="0"/>
              <w:adjustRightInd w:val="0"/>
              <w:spacing w:before="35" w:line="276" w:lineRule="auto"/>
              <w:ind w:right="161" w:firstLine="105" w:firstLineChars="50"/>
              <w:rPr>
                <w:rFonts w:cs="宋体" w:asciiTheme="minorEastAsia" w:hAnsiTheme="minorEastAsia"/>
                <w:kern w:val="0"/>
                <w:szCs w:val="21"/>
              </w:rPr>
            </w:pPr>
            <w:r>
              <w:rPr>
                <w:rFonts w:hint="eastAsia" w:cs="宋体" w:asciiTheme="minorEastAsia" w:hAnsiTheme="minorEastAsia"/>
                <w:kern w:val="0"/>
                <w:szCs w:val="21"/>
              </w:rPr>
              <w:t>姓名及确认号</w:t>
            </w:r>
          </w:p>
        </w:tc>
        <w:tc>
          <w:tcPr>
            <w:tcW w:w="2900" w:type="dxa"/>
          </w:tcPr>
          <w:p>
            <w:pPr>
              <w:tabs>
                <w:tab w:val="left" w:pos="880"/>
              </w:tabs>
              <w:autoSpaceDE w:val="0"/>
              <w:autoSpaceDN w:val="0"/>
              <w:adjustRightInd w:val="0"/>
              <w:spacing w:before="35" w:line="276" w:lineRule="auto"/>
              <w:ind w:right="161"/>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李学弘2019-M1MMS-1274211</w:t>
            </w:r>
          </w:p>
        </w:tc>
        <w:tc>
          <w:tcPr>
            <w:tcW w:w="193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cs="宋体" w:asciiTheme="minorEastAsia" w:hAnsiTheme="minorEastAsia"/>
                <w:bCs/>
                <w:kern w:val="0"/>
                <w:szCs w:val="21"/>
              </w:rPr>
              <w:t>监督审核涉及的区域或部门</w:t>
            </w:r>
          </w:p>
        </w:tc>
        <w:tc>
          <w:tcPr>
            <w:tcW w:w="2541" w:type="dxa"/>
          </w:tcPr>
          <w:p>
            <w:pPr>
              <w:tabs>
                <w:tab w:val="left" w:pos="880"/>
              </w:tabs>
              <w:autoSpaceDE w:val="0"/>
              <w:autoSpaceDN w:val="0"/>
              <w:adjustRightInd w:val="0"/>
              <w:spacing w:before="35" w:line="240" w:lineRule="auto"/>
              <w:ind w:right="161"/>
              <w:rPr>
                <w:rFonts w:cs="宋体" w:asciiTheme="minorEastAsia" w:hAnsiTheme="minorEastAsia"/>
                <w:kern w:val="0"/>
                <w:szCs w:val="21"/>
              </w:rPr>
            </w:pPr>
            <w:r>
              <w:rPr>
                <w:rFonts w:hint="eastAsia" w:cs="宋体" w:asciiTheme="minorEastAsia" w:hAnsiTheme="minorEastAsia"/>
                <w:bCs/>
                <w:kern w:val="0"/>
                <w:szCs w:val="21"/>
                <w:lang w:val="en-US" w:eastAsia="zh-CN"/>
              </w:rPr>
              <w:t>综合部、营销中心、品控部、生产中心、技术中心</w:t>
            </w:r>
          </w:p>
        </w:tc>
      </w:tr>
    </w:tbl>
    <w:p>
      <w:pPr>
        <w:widowControl/>
        <w:spacing w:line="360" w:lineRule="auto"/>
        <w:rPr>
          <w:rFonts w:cs="宋体" w:asciiTheme="minorEastAsia" w:hAnsiTheme="minorEastAsia"/>
          <w:kern w:val="0"/>
          <w:szCs w:val="21"/>
        </w:rPr>
      </w:pPr>
      <w:r>
        <w:rPr>
          <w:rFonts w:hint="eastAsia" w:cs="宋体" w:asciiTheme="minorEastAsia" w:hAnsiTheme="minorEastAsia"/>
          <w:b/>
          <w:bCs/>
          <w:kern w:val="0"/>
          <w:szCs w:val="21"/>
        </w:rPr>
        <w:t>二、</w:t>
      </w:r>
      <w:r>
        <w:rPr>
          <w:rFonts w:cs="宋体" w:asciiTheme="minorEastAsia" w:hAnsiTheme="minorEastAsia"/>
          <w:b/>
          <w:bCs/>
          <w:kern w:val="0"/>
          <w:szCs w:val="21"/>
        </w:rPr>
        <w:t>监督审核</w:t>
      </w:r>
      <w:r>
        <w:rPr>
          <w:rFonts w:hint="eastAsia" w:cs="宋体" w:asciiTheme="minorEastAsia" w:hAnsiTheme="minorEastAsia"/>
          <w:b/>
          <w:bCs/>
          <w:kern w:val="0"/>
          <w:szCs w:val="21"/>
        </w:rPr>
        <w:t>内容</w:t>
      </w:r>
      <w:r>
        <w:rPr>
          <w:rFonts w:hint="eastAsia" w:cs="宋体" w:asciiTheme="minorEastAsia" w:hAnsiTheme="minorEastAsia"/>
          <w:bCs/>
          <w:kern w:val="0"/>
          <w:szCs w:val="21"/>
        </w:rPr>
        <w:t>：</w:t>
      </w:r>
    </w:p>
    <w:p>
      <w:pPr>
        <w:widowControl/>
        <w:spacing w:line="276" w:lineRule="auto"/>
        <w:rPr>
          <w:rFonts w:cs="宋体" w:asciiTheme="minorEastAsia" w:hAnsiTheme="minorEastAsia"/>
          <w:bCs/>
          <w:kern w:val="0"/>
          <w:szCs w:val="21"/>
        </w:rPr>
      </w:pPr>
      <w:r>
        <w:rPr>
          <w:rFonts w:hint="eastAsia" w:cs="宋体" w:asciiTheme="minorEastAsia" w:hAnsiTheme="minorEastAsia"/>
          <w:bCs/>
          <w:kern w:val="0"/>
          <w:szCs w:val="21"/>
        </w:rPr>
        <w:t>1.</w:t>
      </w:r>
      <w:r>
        <w:rPr>
          <w:rFonts w:cs="宋体" w:asciiTheme="minorEastAsia" w:hAnsiTheme="minorEastAsia"/>
          <w:bCs/>
          <w:kern w:val="0"/>
          <w:szCs w:val="21"/>
        </w:rPr>
        <w:t>一年内违反法律法规</w:t>
      </w:r>
      <w:r>
        <w:rPr>
          <w:rFonts w:hint="eastAsia" w:cs="宋体" w:asciiTheme="minorEastAsia" w:hAnsiTheme="minorEastAsia"/>
          <w:bCs/>
          <w:kern w:val="0"/>
          <w:szCs w:val="21"/>
        </w:rPr>
        <w:t>或</w:t>
      </w:r>
      <w:r>
        <w:rPr>
          <w:rFonts w:cs="宋体" w:asciiTheme="minorEastAsia" w:hAnsiTheme="minorEastAsia"/>
          <w:bCs/>
          <w:kern w:val="0"/>
          <w:szCs w:val="21"/>
        </w:rPr>
        <w:t>重大事故的情况：</w:t>
      </w:r>
    </w:p>
    <w:p>
      <w:pPr>
        <w:widowControl/>
        <w:spacing w:line="276" w:lineRule="auto"/>
        <w:ind w:firstLine="420" w:firstLineChars="200"/>
        <w:rPr>
          <w:rFonts w:cs="宋体" w:asciiTheme="minorEastAsia" w:hAnsiTheme="minorEastAsia"/>
          <w:bCs/>
          <w:kern w:val="0"/>
          <w:szCs w:val="21"/>
        </w:rPr>
      </w:pPr>
      <w:r>
        <w:rPr>
          <w:rFonts w:hint="eastAsia" w:cs="宋体" w:asciiTheme="minorEastAsia" w:hAnsiTheme="minorEastAsia"/>
          <w:bCs/>
          <w:kern w:val="0"/>
          <w:szCs w:val="21"/>
        </w:rPr>
        <w:t>20</w:t>
      </w:r>
      <w:r>
        <w:rPr>
          <w:rFonts w:hint="eastAsia" w:cs="宋体" w:asciiTheme="minorEastAsia" w:hAnsiTheme="minorEastAsia"/>
          <w:bCs/>
          <w:kern w:val="0"/>
          <w:szCs w:val="21"/>
          <w:lang w:val="en-US" w:eastAsia="zh-CN"/>
        </w:rPr>
        <w:t>20</w:t>
      </w:r>
      <w:r>
        <w:rPr>
          <w:rFonts w:hint="eastAsia" w:cs="宋体" w:asciiTheme="minorEastAsia" w:hAnsiTheme="minorEastAsia"/>
          <w:bCs/>
          <w:kern w:val="0"/>
          <w:szCs w:val="21"/>
        </w:rPr>
        <w:t>年</w:t>
      </w:r>
      <w:r>
        <w:rPr>
          <w:rFonts w:hint="eastAsia" w:cs="宋体" w:asciiTheme="minorEastAsia" w:hAnsiTheme="minorEastAsia"/>
          <w:bCs/>
          <w:kern w:val="0"/>
          <w:szCs w:val="21"/>
          <w:lang w:val="en-US" w:eastAsia="zh-CN"/>
        </w:rPr>
        <w:t>7</w:t>
      </w:r>
      <w:r>
        <w:rPr>
          <w:rFonts w:hint="eastAsia" w:cs="宋体" w:asciiTheme="minorEastAsia" w:hAnsiTheme="minorEastAsia"/>
          <w:bCs/>
          <w:kern w:val="0"/>
          <w:szCs w:val="21"/>
        </w:rPr>
        <w:t>月至今，公司日常运行中生产经营平稳，企业未有违反法律、法规问题和产品质量问题的投诉或重大质量事故发生。企业营业执照等资质未发生变化。公司一年来重点做了以下工作：</w:t>
      </w:r>
    </w:p>
    <w:p>
      <w:pPr>
        <w:widowControl/>
        <w:spacing w:line="276" w:lineRule="auto"/>
        <w:rPr>
          <w:rFonts w:hint="default" w:cs="宋体" w:asciiTheme="minorEastAsia" w:hAnsiTheme="minorEastAsia"/>
          <w:bCs/>
          <w:kern w:val="0"/>
          <w:szCs w:val="21"/>
          <w:lang w:val="en-US" w:eastAsia="zh-CN"/>
        </w:rPr>
      </w:pPr>
      <w:r>
        <w:rPr>
          <w:rFonts w:hint="eastAsia" w:cs="宋体" w:asciiTheme="minorEastAsia" w:hAnsiTheme="minorEastAsia"/>
          <w:bCs/>
          <w:kern w:val="0"/>
          <w:szCs w:val="21"/>
        </w:rPr>
        <w:t xml:space="preserve">1.1 </w:t>
      </w:r>
      <w:r>
        <w:rPr>
          <w:rFonts w:hint="eastAsia" w:cs="宋体" w:asciiTheme="minorEastAsia" w:hAnsiTheme="minorEastAsia"/>
          <w:bCs/>
          <w:kern w:val="0"/>
          <w:szCs w:val="21"/>
          <w:lang w:val="en-US" w:eastAsia="zh-CN"/>
        </w:rPr>
        <w:t>实施了测量管理体系认证要求的培训；</w:t>
      </w:r>
    </w:p>
    <w:p>
      <w:pPr>
        <w:widowControl/>
        <w:spacing w:line="276" w:lineRule="auto"/>
        <w:rPr>
          <w:rFonts w:hint="eastAsia" w:cs="宋体" w:asciiTheme="minorEastAsia" w:hAnsiTheme="minorEastAsia"/>
          <w:bCs/>
          <w:kern w:val="0"/>
          <w:szCs w:val="21"/>
          <w:lang w:val="en-US" w:eastAsia="zh-CN"/>
        </w:rPr>
      </w:pPr>
      <w:r>
        <w:rPr>
          <w:rFonts w:hint="eastAsia" w:cs="宋体" w:asciiTheme="minorEastAsia" w:hAnsiTheme="minorEastAsia"/>
          <w:bCs/>
          <w:kern w:val="0"/>
          <w:szCs w:val="21"/>
        </w:rPr>
        <w:t xml:space="preserve">1.2  </w:t>
      </w:r>
      <w:r>
        <w:rPr>
          <w:rFonts w:hint="eastAsia" w:cs="宋体" w:asciiTheme="minorEastAsia" w:hAnsiTheme="minorEastAsia"/>
          <w:bCs/>
          <w:kern w:val="0"/>
          <w:szCs w:val="21"/>
          <w:lang w:val="en-US" w:eastAsia="zh-CN"/>
        </w:rPr>
        <w:t>采取了防止错误测量结果产生的措施如测量审核、实验室间比对等。</w:t>
      </w:r>
    </w:p>
    <w:p>
      <w:pPr>
        <w:widowControl/>
        <w:spacing w:line="276" w:lineRule="auto"/>
        <w:rPr>
          <w:rFonts w:hint="eastAsia" w:cs="宋体" w:asciiTheme="minorEastAsia" w:hAnsiTheme="minorEastAsia"/>
          <w:bCs/>
          <w:kern w:val="0"/>
          <w:szCs w:val="21"/>
          <w:lang w:val="en-US" w:eastAsia="zh-CN"/>
        </w:rPr>
      </w:pPr>
    </w:p>
    <w:p>
      <w:pPr>
        <w:widowControl/>
        <w:spacing w:line="360" w:lineRule="auto"/>
        <w:rPr>
          <w:rFonts w:ascii="宋体" w:hAnsi="宋体"/>
          <w:szCs w:val="21"/>
        </w:rPr>
      </w:pPr>
      <w:r>
        <w:rPr>
          <w:rFonts w:hint="eastAsia" w:ascii="宋体" w:hAnsi="宋体"/>
          <w:szCs w:val="21"/>
          <w:lang w:val="en-US" w:eastAsia="zh-CN"/>
        </w:rPr>
        <w:t>2.</w:t>
      </w:r>
      <w:r>
        <w:rPr>
          <w:rFonts w:ascii="宋体" w:hAnsi="宋体"/>
          <w:szCs w:val="21"/>
        </w:rPr>
        <w:t>监督审核过程简述：</w:t>
      </w:r>
    </w:p>
    <w:p>
      <w:pPr>
        <w:widowControl/>
        <w:spacing w:line="360" w:lineRule="auto"/>
        <w:ind w:firstLine="420" w:firstLineChars="200"/>
        <w:rPr>
          <w:rFonts w:hint="eastAsia" w:ascii="宋体" w:hAnsi="宋体"/>
          <w:szCs w:val="21"/>
          <w:lang w:eastAsia="zh-CN"/>
        </w:rPr>
      </w:pPr>
      <w:r>
        <w:rPr>
          <w:rFonts w:hint="eastAsia" w:ascii="宋体" w:hAnsi="宋体" w:cs="宋体"/>
          <w:bCs/>
          <w:kern w:val="0"/>
          <w:szCs w:val="21"/>
        </w:rPr>
        <w:t>为有效评价公司测量管理体系认证后</w:t>
      </w:r>
      <w:r>
        <w:rPr>
          <w:rFonts w:hint="eastAsia" w:ascii="宋体" w:hAnsi="宋体" w:cs="宋体"/>
          <w:bCs/>
          <w:kern w:val="0"/>
          <w:szCs w:val="21"/>
          <w:lang w:val="en-US" w:eastAsia="zh-CN"/>
        </w:rPr>
        <w:t>一</w:t>
      </w:r>
      <w:r>
        <w:rPr>
          <w:rFonts w:hint="eastAsia" w:ascii="宋体" w:hAnsi="宋体" w:cs="宋体"/>
          <w:bCs/>
          <w:kern w:val="0"/>
          <w:szCs w:val="21"/>
        </w:rPr>
        <w:t>年以来运行情况，20</w:t>
      </w:r>
      <w:r>
        <w:rPr>
          <w:rFonts w:hint="eastAsia" w:ascii="宋体" w:hAnsi="宋体" w:cs="宋体"/>
          <w:bCs/>
          <w:kern w:val="0"/>
          <w:szCs w:val="21"/>
          <w:lang w:val="en-US" w:eastAsia="zh-CN"/>
        </w:rPr>
        <w:t>21</w:t>
      </w:r>
      <w:r>
        <w:rPr>
          <w:rFonts w:hint="eastAsia" w:ascii="宋体" w:hAnsi="宋体" w:cs="宋体"/>
          <w:bCs/>
          <w:kern w:val="0"/>
          <w:szCs w:val="21"/>
        </w:rPr>
        <w:t>年</w:t>
      </w:r>
      <w:r>
        <w:rPr>
          <w:rFonts w:hint="eastAsia" w:ascii="宋体" w:hAnsi="宋体" w:cs="宋体"/>
          <w:bCs/>
          <w:kern w:val="0"/>
          <w:szCs w:val="21"/>
          <w:lang w:val="en-US" w:eastAsia="zh-CN"/>
        </w:rPr>
        <w:t>6</w:t>
      </w:r>
      <w:r>
        <w:rPr>
          <w:rFonts w:hint="eastAsia" w:ascii="宋体" w:hAnsi="宋体" w:cs="宋体"/>
          <w:bCs/>
          <w:kern w:val="0"/>
          <w:szCs w:val="21"/>
        </w:rPr>
        <w:t>月</w:t>
      </w:r>
      <w:r>
        <w:rPr>
          <w:rFonts w:hint="eastAsia" w:ascii="宋体" w:hAnsi="宋体" w:cs="宋体"/>
          <w:bCs/>
          <w:kern w:val="0"/>
          <w:szCs w:val="21"/>
          <w:lang w:val="en-US" w:eastAsia="zh-CN"/>
        </w:rPr>
        <w:t>10-11</w:t>
      </w:r>
      <w:r>
        <w:rPr>
          <w:rFonts w:hint="eastAsia" w:ascii="宋体" w:hAnsi="宋体" w:cs="宋体"/>
          <w:bCs/>
          <w:kern w:val="0"/>
          <w:szCs w:val="21"/>
        </w:rPr>
        <w:t>日，</w:t>
      </w:r>
      <w:r>
        <w:rPr>
          <w:rFonts w:hint="eastAsia" w:ascii="宋体" w:hAnsi="宋体" w:cs="宋体"/>
          <w:bCs/>
          <w:kern w:val="0"/>
          <w:szCs w:val="21"/>
          <w:lang w:eastAsia="zh-CN"/>
        </w:rPr>
        <w:t>审</w:t>
      </w:r>
      <w:r>
        <w:rPr>
          <w:rFonts w:hint="eastAsia" w:ascii="宋体" w:hAnsi="宋体"/>
          <w:szCs w:val="21"/>
          <w:lang w:eastAsia="zh-CN"/>
        </w:rPr>
        <w:t>核组</w:t>
      </w:r>
      <w:r>
        <w:rPr>
          <w:rFonts w:ascii="宋体" w:hAnsi="宋体"/>
          <w:szCs w:val="21"/>
        </w:rPr>
        <w:t>对该公司的体系文件进行了版本</w:t>
      </w:r>
      <w:r>
        <w:rPr>
          <w:rFonts w:hint="eastAsia" w:ascii="宋体" w:hAnsi="宋体"/>
          <w:szCs w:val="21"/>
        </w:rPr>
        <w:t>（A/0）</w:t>
      </w:r>
      <w:r>
        <w:rPr>
          <w:rFonts w:ascii="宋体" w:hAnsi="宋体"/>
          <w:szCs w:val="21"/>
        </w:rPr>
        <w:t>确认，</w:t>
      </w:r>
      <w:r>
        <w:rPr>
          <w:rFonts w:hint="eastAsia" w:ascii="宋体" w:hAnsi="宋体"/>
          <w:szCs w:val="21"/>
          <w:lang w:eastAsia="zh-CN"/>
        </w:rPr>
        <w:t>在</w:t>
      </w:r>
      <w:r>
        <w:rPr>
          <w:rFonts w:hint="eastAsia" w:ascii="宋体" w:hAnsi="宋体" w:cs="宋体"/>
          <w:bCs/>
          <w:kern w:val="0"/>
          <w:szCs w:val="21"/>
        </w:rPr>
        <w:t>现场审核中，审核组先、后抽样检查了涉及公司测量体系内的管理、生产、经营、质量和环境等方面的</w:t>
      </w:r>
      <w:r>
        <w:rPr>
          <w:rFonts w:hint="eastAsia" w:ascii="宋体" w:hAnsi="宋体" w:cs="宋体"/>
          <w:bCs/>
          <w:kern w:val="0"/>
          <w:szCs w:val="21"/>
          <w:lang w:val="en-US" w:eastAsia="zh-CN"/>
        </w:rPr>
        <w:t>5</w:t>
      </w:r>
      <w:r>
        <w:rPr>
          <w:rFonts w:hint="eastAsia" w:ascii="宋体" w:hAnsi="宋体" w:cs="宋体"/>
          <w:bCs/>
          <w:kern w:val="0"/>
          <w:szCs w:val="21"/>
        </w:rPr>
        <w:t>个职能部门，该企业不是重点耗能单位，企业的能源计量器具的配备率及准确度等级均满足G</w:t>
      </w:r>
      <w:r>
        <w:rPr>
          <w:rFonts w:ascii="宋体" w:hAnsi="宋体" w:cs="宋体"/>
          <w:bCs/>
          <w:kern w:val="0"/>
          <w:szCs w:val="21"/>
        </w:rPr>
        <w:t>B17167-2006</w:t>
      </w:r>
      <w:r>
        <w:rPr>
          <w:rFonts w:hint="eastAsia" w:ascii="宋体" w:hAnsi="宋体" w:cs="宋体"/>
          <w:bCs/>
          <w:kern w:val="0"/>
          <w:szCs w:val="21"/>
        </w:rPr>
        <w:t>标准要求。重点抽查</w:t>
      </w:r>
      <w:r>
        <w:rPr>
          <w:rFonts w:hint="eastAsia" w:ascii="宋体" w:hAnsi="宋体"/>
          <w:szCs w:val="21"/>
        </w:rPr>
        <w:t>了公司</w:t>
      </w:r>
      <w:r>
        <w:rPr>
          <w:rFonts w:hint="eastAsia" w:ascii="宋体" w:hAnsi="宋体" w:eastAsia="宋体" w:cs="Times New Roman"/>
          <w:szCs w:val="21"/>
        </w:rPr>
        <w:t>产品</w:t>
      </w:r>
      <w:r>
        <w:rPr>
          <w:rFonts w:hint="eastAsia" w:ascii="宋体" w:hAnsi="宋体" w:eastAsia="宋体" w:cs="Times New Roman"/>
          <w:szCs w:val="21"/>
          <w:lang w:eastAsia="zh-CN"/>
        </w:rPr>
        <w:t>中</w:t>
      </w:r>
      <w:r>
        <w:rPr>
          <w:rFonts w:hint="eastAsia" w:ascii="宋体" w:hAnsi="宋体"/>
          <w:szCs w:val="21"/>
        </w:rPr>
        <w:t>计量特征突出的重要环节</w:t>
      </w:r>
      <w:r>
        <w:rPr>
          <w:rFonts w:hint="eastAsia" w:ascii="宋体" w:hAnsi="宋体"/>
          <w:szCs w:val="21"/>
          <w:lang w:eastAsia="zh-CN"/>
        </w:rPr>
        <w:t>，</w:t>
      </w:r>
      <w:r>
        <w:rPr>
          <w:rFonts w:hint="eastAsia" w:ascii="宋体" w:hAnsi="宋体" w:cs="宋体"/>
          <w:kern w:val="0"/>
          <w:szCs w:val="21"/>
          <w:lang w:eastAsia="zh-CN"/>
        </w:rPr>
        <w:t>涉及公司生产、质量、安全和环境管理等。</w:t>
      </w:r>
      <w:r>
        <w:rPr>
          <w:rFonts w:hint="eastAsia" w:ascii="宋体" w:hAnsi="宋体"/>
          <w:szCs w:val="21"/>
          <w:lang w:eastAsia="zh-CN"/>
        </w:rPr>
        <w:t>为有效评价公司体系运行的质量，掌握了企业测量管理体系的运行状况和品质。</w:t>
      </w:r>
    </w:p>
    <w:p>
      <w:pPr>
        <w:widowControl/>
        <w:spacing w:line="360" w:lineRule="auto"/>
        <w:ind w:firstLine="420" w:firstLineChars="200"/>
        <w:rPr>
          <w:rFonts w:hint="eastAsia" w:ascii="宋体" w:hAnsi="宋体"/>
          <w:szCs w:val="21"/>
        </w:rPr>
      </w:pPr>
      <w:r>
        <w:rPr>
          <w:rFonts w:hint="eastAsia" w:ascii="宋体" w:hAnsi="宋体"/>
          <w:szCs w:val="21"/>
        </w:rPr>
        <w:t>公司测量管理体系的符合性、有效性及持续改进，符合GB/T 19022-2003标准要求，公司测量管理体系正常有序运行，较好地满足了公司生产、销售和持续发展的需要。</w:t>
      </w:r>
    </w:p>
    <w:p>
      <w:pPr>
        <w:widowControl/>
        <w:spacing w:line="360" w:lineRule="auto"/>
        <w:ind w:firstLine="420" w:firstLineChars="200"/>
        <w:rPr>
          <w:rFonts w:hint="default" w:ascii="宋体" w:hAnsi="宋体"/>
          <w:szCs w:val="21"/>
          <w:lang w:val="en-US" w:eastAsia="zh-CN"/>
        </w:rPr>
      </w:pPr>
    </w:p>
    <w:p>
      <w:pPr>
        <w:widowControl/>
        <w:spacing w:line="276" w:lineRule="auto"/>
        <w:rPr>
          <w:rFonts w:cs="宋体" w:asciiTheme="minorEastAsia" w:hAnsiTheme="minorEastAsia"/>
          <w:bCs/>
          <w:kern w:val="0"/>
          <w:szCs w:val="21"/>
        </w:rPr>
      </w:pPr>
      <w:r>
        <w:rPr>
          <w:rFonts w:hint="eastAsia" w:cs="宋体" w:asciiTheme="minorEastAsia" w:hAnsiTheme="minorEastAsia"/>
          <w:bCs/>
          <w:kern w:val="0"/>
          <w:szCs w:val="21"/>
          <w:lang w:val="en-US" w:eastAsia="zh-CN"/>
        </w:rPr>
        <w:t>3</w:t>
      </w:r>
      <w:r>
        <w:rPr>
          <w:rFonts w:hint="eastAsia" w:cs="宋体" w:asciiTheme="minorEastAsia" w:hAnsiTheme="minorEastAsia"/>
          <w:bCs/>
          <w:kern w:val="0"/>
          <w:szCs w:val="21"/>
        </w:rPr>
        <w:t>.内部审核和管理评审</w:t>
      </w:r>
      <w:r>
        <w:rPr>
          <w:rFonts w:cs="宋体" w:asciiTheme="minorEastAsia" w:hAnsiTheme="minorEastAsia"/>
          <w:bCs/>
          <w:kern w:val="0"/>
          <w:szCs w:val="21"/>
        </w:rPr>
        <w:t>的情况：</w:t>
      </w:r>
    </w:p>
    <w:p>
      <w:pPr>
        <w:widowControl/>
        <w:spacing w:line="276" w:lineRule="auto"/>
        <w:rPr>
          <w:rFonts w:cs="宋体" w:asciiTheme="minorEastAsia" w:hAnsiTheme="minorEastAsia"/>
          <w:bCs/>
          <w:kern w:val="0"/>
          <w:szCs w:val="21"/>
        </w:rPr>
      </w:pPr>
      <w:r>
        <w:rPr>
          <w:rFonts w:hint="eastAsia" w:cs="宋体" w:asciiTheme="minorEastAsia" w:hAnsiTheme="minorEastAsia"/>
          <w:bCs/>
          <w:kern w:val="0"/>
          <w:szCs w:val="21"/>
          <w:lang w:val="en-US" w:eastAsia="zh-CN"/>
        </w:rPr>
        <w:t>3</w:t>
      </w:r>
      <w:r>
        <w:rPr>
          <w:rFonts w:hint="eastAsia" w:cs="宋体" w:asciiTheme="minorEastAsia" w:hAnsiTheme="minorEastAsia"/>
          <w:bCs/>
          <w:kern w:val="0"/>
          <w:szCs w:val="21"/>
        </w:rPr>
        <w:t>.1内审情况：公司于202</w:t>
      </w:r>
      <w:r>
        <w:rPr>
          <w:rFonts w:hint="eastAsia" w:cs="宋体" w:asciiTheme="minorEastAsia" w:hAnsiTheme="minorEastAsia"/>
          <w:bCs/>
          <w:kern w:val="0"/>
          <w:szCs w:val="21"/>
          <w:lang w:val="en-US" w:eastAsia="zh-CN"/>
        </w:rPr>
        <w:t>1</w:t>
      </w:r>
      <w:r>
        <w:rPr>
          <w:rFonts w:hint="eastAsia" w:cs="宋体" w:asciiTheme="minorEastAsia" w:hAnsiTheme="minorEastAsia"/>
          <w:bCs/>
          <w:kern w:val="0"/>
          <w:szCs w:val="21"/>
        </w:rPr>
        <w:t>年</w:t>
      </w:r>
      <w:r>
        <w:rPr>
          <w:rFonts w:hint="eastAsia" w:cs="宋体" w:asciiTheme="minorEastAsia" w:hAnsiTheme="minorEastAsia"/>
          <w:bCs/>
          <w:kern w:val="0"/>
          <w:szCs w:val="21"/>
          <w:lang w:val="en-US" w:eastAsia="zh-CN"/>
        </w:rPr>
        <w:t>5</w:t>
      </w:r>
      <w:r>
        <w:rPr>
          <w:rFonts w:hint="eastAsia" w:cs="宋体" w:asciiTheme="minorEastAsia" w:hAnsiTheme="minorEastAsia"/>
          <w:bCs/>
          <w:kern w:val="0"/>
          <w:szCs w:val="21"/>
        </w:rPr>
        <w:t>月</w:t>
      </w:r>
      <w:r>
        <w:rPr>
          <w:rFonts w:hint="eastAsia" w:cs="宋体" w:asciiTheme="minorEastAsia" w:hAnsiTheme="minorEastAsia"/>
          <w:bCs/>
          <w:kern w:val="0"/>
          <w:szCs w:val="21"/>
          <w:lang w:val="en-US" w:eastAsia="zh-CN"/>
        </w:rPr>
        <w:t>14日</w:t>
      </w:r>
      <w:r>
        <w:rPr>
          <w:rFonts w:hint="eastAsia" w:cs="宋体" w:asciiTheme="minorEastAsia" w:hAnsiTheme="minorEastAsia"/>
          <w:bCs/>
          <w:kern w:val="0"/>
          <w:szCs w:val="21"/>
        </w:rPr>
        <w:t>日组织了公司</w:t>
      </w:r>
      <w:r>
        <w:rPr>
          <w:rFonts w:cs="宋体" w:asciiTheme="minorEastAsia" w:hAnsiTheme="minorEastAsia"/>
          <w:bCs/>
          <w:kern w:val="0"/>
          <w:szCs w:val="21"/>
        </w:rPr>
        <w:t>测量管理体系，</w:t>
      </w:r>
      <w:r>
        <w:rPr>
          <w:rFonts w:hint="eastAsia" w:cs="宋体" w:asciiTheme="minorEastAsia" w:hAnsiTheme="minorEastAsia"/>
          <w:bCs/>
          <w:kern w:val="0"/>
          <w:szCs w:val="21"/>
        </w:rPr>
        <w:t>内审分</w:t>
      </w:r>
      <w:r>
        <w:rPr>
          <w:rFonts w:hint="eastAsia" w:cs="宋体" w:asciiTheme="minorEastAsia" w:hAnsiTheme="minorEastAsia"/>
          <w:bCs/>
          <w:kern w:val="0"/>
          <w:szCs w:val="21"/>
          <w:lang w:val="en-US" w:eastAsia="zh-CN"/>
        </w:rPr>
        <w:t>1</w:t>
      </w:r>
      <w:r>
        <w:rPr>
          <w:rFonts w:hint="eastAsia" w:cs="宋体" w:asciiTheme="minorEastAsia" w:hAnsiTheme="minorEastAsia"/>
          <w:bCs/>
          <w:kern w:val="0"/>
          <w:szCs w:val="21"/>
        </w:rPr>
        <w:t>个组，对公司</w:t>
      </w:r>
      <w:r>
        <w:rPr>
          <w:rFonts w:hint="eastAsia" w:cs="宋体" w:asciiTheme="minorEastAsia" w:hAnsiTheme="minorEastAsia"/>
          <w:bCs/>
          <w:kern w:val="0"/>
          <w:szCs w:val="21"/>
          <w:lang w:val="en-US" w:eastAsia="zh-CN"/>
        </w:rPr>
        <w:t>5</w:t>
      </w:r>
      <w:r>
        <w:rPr>
          <w:rFonts w:hint="eastAsia" w:cs="宋体" w:asciiTheme="minorEastAsia" w:hAnsiTheme="minorEastAsia"/>
          <w:bCs/>
          <w:kern w:val="0"/>
          <w:szCs w:val="21"/>
        </w:rPr>
        <w:t>个部门进行了全要素的审核，</w:t>
      </w:r>
      <w:r>
        <w:rPr>
          <w:rFonts w:cs="宋体" w:asciiTheme="minorEastAsia" w:hAnsiTheme="minorEastAsia"/>
          <w:bCs/>
          <w:kern w:val="0"/>
          <w:szCs w:val="21"/>
        </w:rPr>
        <w:t>共开出了</w:t>
      </w:r>
      <w:r>
        <w:rPr>
          <w:rFonts w:hint="eastAsia" w:cs="宋体" w:asciiTheme="minorEastAsia" w:hAnsiTheme="minorEastAsia"/>
          <w:bCs/>
          <w:kern w:val="0"/>
          <w:szCs w:val="21"/>
          <w:lang w:val="en-US" w:eastAsia="zh-CN"/>
        </w:rPr>
        <w:t>1</w:t>
      </w:r>
      <w:r>
        <w:rPr>
          <w:rFonts w:hint="eastAsia" w:cs="宋体" w:asciiTheme="minorEastAsia" w:hAnsiTheme="minorEastAsia"/>
          <w:bCs/>
          <w:kern w:val="0"/>
          <w:szCs w:val="21"/>
        </w:rPr>
        <w:t>不</w:t>
      </w:r>
      <w:r>
        <w:rPr>
          <w:rFonts w:cs="宋体" w:asciiTheme="minorEastAsia" w:hAnsiTheme="minorEastAsia"/>
          <w:bCs/>
          <w:kern w:val="0"/>
          <w:szCs w:val="21"/>
        </w:rPr>
        <w:t>符合项</w:t>
      </w:r>
      <w:r>
        <w:rPr>
          <w:rFonts w:hint="eastAsia" w:cs="宋体" w:asciiTheme="minorEastAsia" w:hAnsiTheme="minorEastAsia"/>
          <w:bCs/>
          <w:kern w:val="0"/>
          <w:szCs w:val="21"/>
        </w:rPr>
        <w:t>，于</w:t>
      </w:r>
      <w:r>
        <w:rPr>
          <w:rFonts w:hint="eastAsia" w:cs="宋体" w:asciiTheme="minorEastAsia" w:hAnsiTheme="minorEastAsia"/>
          <w:bCs/>
          <w:kern w:val="0"/>
          <w:szCs w:val="21"/>
          <w:lang w:val="en-US" w:eastAsia="zh-CN"/>
        </w:rPr>
        <w:t>5</w:t>
      </w:r>
      <w:r>
        <w:rPr>
          <w:rFonts w:hint="eastAsia" w:cs="宋体" w:asciiTheme="minorEastAsia" w:hAnsiTheme="minorEastAsia"/>
          <w:bCs/>
          <w:kern w:val="0"/>
          <w:szCs w:val="21"/>
        </w:rPr>
        <w:t>月</w:t>
      </w:r>
      <w:r>
        <w:rPr>
          <w:rFonts w:hint="eastAsia" w:cs="宋体" w:asciiTheme="minorEastAsia" w:hAnsiTheme="minorEastAsia"/>
          <w:bCs/>
          <w:kern w:val="0"/>
          <w:szCs w:val="21"/>
          <w:lang w:val="en-US" w:eastAsia="zh-CN"/>
        </w:rPr>
        <w:t>16</w:t>
      </w:r>
      <w:r>
        <w:rPr>
          <w:rFonts w:hint="eastAsia" w:cs="宋体" w:asciiTheme="minorEastAsia" w:hAnsiTheme="minorEastAsia"/>
          <w:bCs/>
          <w:kern w:val="0"/>
          <w:szCs w:val="21"/>
        </w:rPr>
        <w:t>日完成整改。</w:t>
      </w:r>
    </w:p>
    <w:p>
      <w:pPr>
        <w:widowControl/>
        <w:spacing w:line="276" w:lineRule="auto"/>
        <w:rPr>
          <w:rFonts w:cs="宋体" w:asciiTheme="minorEastAsia" w:hAnsiTheme="minorEastAsia"/>
          <w:bCs/>
          <w:kern w:val="0"/>
          <w:szCs w:val="21"/>
        </w:rPr>
      </w:pPr>
    </w:p>
    <w:p>
      <w:pPr>
        <w:widowControl/>
        <w:spacing w:line="276" w:lineRule="auto"/>
        <w:rPr>
          <w:rFonts w:cs="宋体" w:asciiTheme="minorEastAsia" w:hAnsiTheme="minorEastAsia"/>
          <w:bCs/>
          <w:kern w:val="0"/>
          <w:szCs w:val="21"/>
        </w:rPr>
      </w:pPr>
      <w:r>
        <w:rPr>
          <w:rFonts w:hint="eastAsia" w:cs="宋体" w:asciiTheme="minorEastAsia" w:hAnsiTheme="minorEastAsia"/>
          <w:bCs/>
          <w:kern w:val="0"/>
          <w:szCs w:val="21"/>
          <w:lang w:val="en-US" w:eastAsia="zh-CN"/>
        </w:rPr>
        <w:t>3</w:t>
      </w:r>
      <w:r>
        <w:rPr>
          <w:rFonts w:hint="eastAsia" w:cs="宋体" w:asciiTheme="minorEastAsia" w:hAnsiTheme="minorEastAsia"/>
          <w:bCs/>
          <w:kern w:val="0"/>
          <w:szCs w:val="21"/>
        </w:rPr>
        <w:t>.2管理评审情况：企业于200</w:t>
      </w:r>
      <w:r>
        <w:rPr>
          <w:rFonts w:hint="eastAsia" w:cs="宋体" w:asciiTheme="minorEastAsia" w:hAnsiTheme="minorEastAsia"/>
          <w:bCs/>
          <w:kern w:val="0"/>
          <w:szCs w:val="21"/>
          <w:lang w:val="en-US" w:eastAsia="zh-CN"/>
        </w:rPr>
        <w:t>1</w:t>
      </w:r>
      <w:r>
        <w:rPr>
          <w:rFonts w:hint="eastAsia" w:cs="宋体" w:asciiTheme="minorEastAsia" w:hAnsiTheme="minorEastAsia"/>
          <w:bCs/>
          <w:kern w:val="0"/>
          <w:szCs w:val="21"/>
        </w:rPr>
        <w:t>年</w:t>
      </w:r>
      <w:r>
        <w:rPr>
          <w:rFonts w:hint="eastAsia" w:cs="宋体" w:asciiTheme="minorEastAsia" w:hAnsiTheme="minorEastAsia"/>
          <w:bCs/>
          <w:kern w:val="0"/>
          <w:szCs w:val="21"/>
          <w:lang w:val="en-US" w:eastAsia="zh-CN"/>
        </w:rPr>
        <w:t>5</w:t>
      </w:r>
      <w:r>
        <w:rPr>
          <w:rFonts w:hint="eastAsia" w:cs="宋体" w:asciiTheme="minorEastAsia" w:hAnsiTheme="minorEastAsia"/>
          <w:bCs/>
          <w:kern w:val="0"/>
          <w:szCs w:val="21"/>
        </w:rPr>
        <w:t>月</w:t>
      </w:r>
      <w:r>
        <w:rPr>
          <w:rFonts w:hint="eastAsia" w:cs="宋体" w:asciiTheme="minorEastAsia" w:hAnsiTheme="minorEastAsia"/>
          <w:bCs/>
          <w:kern w:val="0"/>
          <w:szCs w:val="21"/>
          <w:lang w:val="en-US" w:eastAsia="zh-CN"/>
        </w:rPr>
        <w:t>20</w:t>
      </w:r>
      <w:r>
        <w:rPr>
          <w:rFonts w:hint="eastAsia" w:cs="宋体" w:asciiTheme="minorEastAsia" w:hAnsiTheme="minorEastAsia"/>
          <w:bCs/>
          <w:kern w:val="0"/>
          <w:szCs w:val="21"/>
        </w:rPr>
        <w:t>日</w:t>
      </w:r>
      <w:r>
        <w:rPr>
          <w:rFonts w:cs="宋体" w:asciiTheme="minorEastAsia" w:hAnsiTheme="minorEastAsia"/>
          <w:bCs/>
          <w:kern w:val="0"/>
          <w:szCs w:val="21"/>
        </w:rPr>
        <w:t>开展</w:t>
      </w:r>
      <w:r>
        <w:rPr>
          <w:rFonts w:hint="eastAsia" w:cs="宋体" w:asciiTheme="minorEastAsia" w:hAnsiTheme="minorEastAsia"/>
          <w:bCs/>
          <w:kern w:val="0"/>
          <w:szCs w:val="21"/>
        </w:rPr>
        <w:t>了单体系管理评审，会议</w:t>
      </w:r>
      <w:r>
        <w:rPr>
          <w:rFonts w:cs="宋体" w:asciiTheme="minorEastAsia" w:hAnsiTheme="minorEastAsia"/>
          <w:bCs/>
          <w:kern w:val="0"/>
          <w:szCs w:val="21"/>
        </w:rPr>
        <w:t>由</w:t>
      </w:r>
      <w:r>
        <w:rPr>
          <w:rFonts w:hint="eastAsia" w:cs="宋体" w:asciiTheme="minorEastAsia" w:hAnsiTheme="minorEastAsia"/>
          <w:bCs/>
          <w:kern w:val="0"/>
          <w:szCs w:val="21"/>
        </w:rPr>
        <w:t>公司总经理</w:t>
      </w:r>
      <w:r>
        <w:rPr>
          <w:rFonts w:hint="eastAsia" w:cs="宋体" w:asciiTheme="minorEastAsia" w:hAnsiTheme="minorEastAsia"/>
          <w:bCs/>
          <w:kern w:val="0"/>
          <w:szCs w:val="21"/>
          <w:lang w:val="en-US" w:eastAsia="zh-CN"/>
        </w:rPr>
        <w:t>邢青涛</w:t>
      </w:r>
      <w:r>
        <w:rPr>
          <w:rFonts w:hint="eastAsia" w:cs="宋体" w:asciiTheme="minorEastAsia" w:hAnsiTheme="minorEastAsia"/>
          <w:bCs/>
          <w:kern w:val="0"/>
          <w:szCs w:val="21"/>
        </w:rPr>
        <w:t>主持，由</w:t>
      </w:r>
      <w:r>
        <w:rPr>
          <w:rFonts w:cs="宋体" w:asciiTheme="minorEastAsia" w:hAnsiTheme="minorEastAsia"/>
          <w:bCs/>
          <w:kern w:val="0"/>
          <w:szCs w:val="21"/>
        </w:rPr>
        <w:t>管理者代表</w:t>
      </w:r>
      <w:r>
        <w:rPr>
          <w:rFonts w:hint="eastAsia" w:cs="宋体" w:asciiTheme="minorEastAsia" w:hAnsiTheme="minorEastAsia"/>
          <w:bCs/>
          <w:kern w:val="0"/>
          <w:szCs w:val="21"/>
          <w:lang w:val="en-US" w:eastAsia="zh-CN"/>
        </w:rPr>
        <w:t>王俊峰</w:t>
      </w:r>
      <w:r>
        <w:rPr>
          <w:rFonts w:cs="宋体" w:asciiTheme="minorEastAsia" w:hAnsiTheme="minorEastAsia"/>
          <w:bCs/>
          <w:kern w:val="0"/>
          <w:szCs w:val="21"/>
        </w:rPr>
        <w:t>汇报了体系运行情况。</w:t>
      </w:r>
      <w:r>
        <w:rPr>
          <w:rFonts w:hint="eastAsia" w:cs="宋体" w:asciiTheme="minorEastAsia" w:hAnsiTheme="minorEastAsia"/>
          <w:bCs/>
          <w:kern w:val="0"/>
          <w:szCs w:val="21"/>
        </w:rPr>
        <w:t>会议肯定</w:t>
      </w:r>
      <w:r>
        <w:rPr>
          <w:rFonts w:cs="宋体" w:asciiTheme="minorEastAsia" w:hAnsiTheme="minorEastAsia"/>
          <w:bCs/>
          <w:kern w:val="0"/>
          <w:szCs w:val="21"/>
        </w:rPr>
        <w:t>了公司测量管理体系的充分</w:t>
      </w:r>
      <w:r>
        <w:rPr>
          <w:rFonts w:hint="eastAsia" w:cs="宋体" w:asciiTheme="minorEastAsia" w:hAnsiTheme="minorEastAsia"/>
          <w:bCs/>
          <w:kern w:val="0"/>
          <w:szCs w:val="21"/>
        </w:rPr>
        <w:t>性</w:t>
      </w:r>
      <w:r>
        <w:rPr>
          <w:rFonts w:cs="宋体" w:asciiTheme="minorEastAsia" w:hAnsiTheme="minorEastAsia"/>
          <w:bCs/>
          <w:kern w:val="0"/>
          <w:szCs w:val="21"/>
        </w:rPr>
        <w:t>、有效性和适宜性</w:t>
      </w:r>
      <w:r>
        <w:rPr>
          <w:rFonts w:hint="eastAsia" w:cs="宋体" w:asciiTheme="minorEastAsia" w:hAnsiTheme="minorEastAsia"/>
          <w:bCs/>
          <w:kern w:val="0"/>
          <w:szCs w:val="21"/>
        </w:rPr>
        <w:t>。形成</w:t>
      </w:r>
      <w:r>
        <w:rPr>
          <w:rFonts w:cs="宋体" w:asciiTheme="minorEastAsia" w:hAnsiTheme="minorEastAsia"/>
          <w:bCs/>
          <w:kern w:val="0"/>
          <w:szCs w:val="21"/>
        </w:rPr>
        <w:t>了管理评审报告</w:t>
      </w:r>
      <w:r>
        <w:rPr>
          <w:rFonts w:hint="eastAsia" w:cs="宋体" w:asciiTheme="minorEastAsia" w:hAnsiTheme="minorEastAsia"/>
          <w:bCs/>
          <w:kern w:val="0"/>
          <w:szCs w:val="21"/>
        </w:rPr>
        <w:t>，对公司测量管理体系目前存在的</w:t>
      </w:r>
      <w:r>
        <w:rPr>
          <w:rFonts w:hint="eastAsia" w:cs="宋体" w:asciiTheme="minorEastAsia" w:hAnsiTheme="minorEastAsia"/>
          <w:bCs/>
          <w:kern w:val="0"/>
          <w:szCs w:val="21"/>
          <w:lang w:val="en-US" w:eastAsia="zh-CN"/>
        </w:rPr>
        <w:t>2</w:t>
      </w:r>
      <w:r>
        <w:rPr>
          <w:rFonts w:hint="eastAsia" w:cs="宋体" w:asciiTheme="minorEastAsia" w:hAnsiTheme="minorEastAsia"/>
          <w:bCs/>
          <w:kern w:val="0"/>
          <w:szCs w:val="21"/>
        </w:rPr>
        <w:t>个方面的问题落实了整改部门。</w:t>
      </w:r>
    </w:p>
    <w:p>
      <w:pPr>
        <w:widowControl/>
        <w:spacing w:line="276" w:lineRule="auto"/>
        <w:rPr>
          <w:rFonts w:cs="宋体" w:asciiTheme="minorEastAsia" w:hAnsiTheme="minorEastAsia"/>
          <w:bCs/>
          <w:kern w:val="0"/>
          <w:szCs w:val="21"/>
        </w:rPr>
      </w:pPr>
    </w:p>
    <w:p>
      <w:pPr>
        <w:widowControl/>
        <w:spacing w:line="276" w:lineRule="auto"/>
        <w:rPr>
          <w:rFonts w:cs="宋体" w:asciiTheme="minorEastAsia" w:hAnsiTheme="minorEastAsia"/>
          <w:bCs/>
          <w:kern w:val="0"/>
          <w:szCs w:val="21"/>
        </w:rPr>
      </w:pPr>
      <w:r>
        <w:rPr>
          <w:rFonts w:hint="eastAsia" w:cs="宋体" w:asciiTheme="minorEastAsia" w:hAnsiTheme="minorEastAsia"/>
          <w:bCs/>
          <w:kern w:val="0"/>
          <w:szCs w:val="21"/>
          <w:lang w:val="en-US" w:eastAsia="zh-CN"/>
        </w:rPr>
        <w:t>4</w:t>
      </w:r>
      <w:r>
        <w:rPr>
          <w:rFonts w:hint="eastAsia" w:cs="宋体" w:asciiTheme="minorEastAsia" w:hAnsiTheme="minorEastAsia"/>
          <w:bCs/>
          <w:kern w:val="0"/>
          <w:szCs w:val="21"/>
        </w:rPr>
        <w:t>.为持续改进而策划的活动的进展企业对识别的关键测量过程进行了持续的控制，</w:t>
      </w:r>
      <w:r>
        <w:rPr>
          <w:rFonts w:hint="eastAsia" w:cs="宋体" w:asciiTheme="minorEastAsia" w:hAnsiTheme="minorEastAsia"/>
          <w:bCs/>
          <w:kern w:val="0"/>
          <w:szCs w:val="21"/>
          <w:lang w:val="en-US" w:eastAsia="zh-CN"/>
        </w:rPr>
        <w:t>没有</w:t>
      </w:r>
      <w:r>
        <w:rPr>
          <w:rFonts w:hint="eastAsia" w:cs="宋体" w:asciiTheme="minorEastAsia" w:hAnsiTheme="minorEastAsia"/>
          <w:bCs/>
          <w:kern w:val="0"/>
          <w:szCs w:val="21"/>
        </w:rPr>
        <w:t>新增关键测量过程：</w:t>
      </w:r>
    </w:p>
    <w:p>
      <w:pPr>
        <w:widowControl/>
        <w:spacing w:line="276" w:lineRule="auto"/>
        <w:ind w:firstLine="420" w:firstLineChars="200"/>
        <w:rPr>
          <w:rFonts w:cs="宋体" w:asciiTheme="minorEastAsia" w:hAnsiTheme="minorEastAsia"/>
          <w:bCs/>
          <w:kern w:val="0"/>
          <w:szCs w:val="21"/>
        </w:rPr>
      </w:pPr>
      <w:r>
        <w:rPr>
          <w:rFonts w:hint="eastAsia" w:cs="宋体" w:asciiTheme="minorEastAsia" w:hAnsiTheme="minorEastAsia"/>
          <w:bCs/>
          <w:kern w:val="0"/>
          <w:szCs w:val="21"/>
        </w:rPr>
        <w:t>a)计量要求的导出和验证：查BOPP激光全息防伪膜厚度</w:t>
      </w:r>
      <w:r>
        <w:rPr>
          <w:rFonts w:hint="eastAsia" w:cs="宋体" w:asciiTheme="minorEastAsia" w:hAnsiTheme="minorEastAsia"/>
          <w:bCs/>
          <w:kern w:val="0"/>
          <w:szCs w:val="21"/>
          <w:lang w:val="en-US" w:eastAsia="zh-CN"/>
        </w:rPr>
        <w:t>测量</w:t>
      </w:r>
      <w:r>
        <w:rPr>
          <w:rFonts w:hint="eastAsia" w:cs="宋体" w:asciiTheme="minorEastAsia" w:hAnsiTheme="minorEastAsia"/>
          <w:bCs/>
          <w:kern w:val="0"/>
          <w:szCs w:val="21"/>
        </w:rPr>
        <w:t>测量过程，计量要求导出方法正确，验证满足测量过程要求。祥见附件《计量要求导出及验证记录表》</w:t>
      </w:r>
    </w:p>
    <w:p>
      <w:pPr>
        <w:widowControl/>
        <w:spacing w:line="276" w:lineRule="auto"/>
        <w:ind w:firstLine="420" w:firstLineChars="200"/>
        <w:rPr>
          <w:rFonts w:cs="宋体" w:asciiTheme="minorEastAsia" w:hAnsiTheme="minorEastAsia"/>
          <w:bCs/>
          <w:kern w:val="0"/>
          <w:szCs w:val="21"/>
        </w:rPr>
      </w:pPr>
      <w:r>
        <w:rPr>
          <w:rFonts w:hint="eastAsia" w:cs="宋体" w:asciiTheme="minorEastAsia" w:hAnsiTheme="minorEastAsia"/>
          <w:bCs/>
          <w:kern w:val="0"/>
          <w:szCs w:val="21"/>
        </w:rPr>
        <w:t>b)</w:t>
      </w:r>
      <w:r>
        <w:rPr>
          <w:rFonts w:cs="宋体" w:asciiTheme="minorEastAsia" w:hAnsiTheme="minorEastAsia"/>
          <w:bCs/>
          <w:kern w:val="0"/>
          <w:szCs w:val="21"/>
        </w:rPr>
        <w:t>测量不确定评定</w:t>
      </w:r>
      <w:r>
        <w:rPr>
          <w:rFonts w:hint="eastAsia" w:cs="宋体" w:asciiTheme="minorEastAsia" w:hAnsiTheme="minorEastAsia"/>
          <w:bCs/>
          <w:kern w:val="0"/>
          <w:szCs w:val="21"/>
        </w:rPr>
        <w:t>：查BOPP激光全息防伪膜厚度</w:t>
      </w:r>
      <w:r>
        <w:rPr>
          <w:rFonts w:hint="eastAsia" w:cs="宋体" w:asciiTheme="minorEastAsia" w:hAnsiTheme="minorEastAsia"/>
          <w:bCs/>
          <w:kern w:val="0"/>
          <w:szCs w:val="21"/>
          <w:lang w:val="en-US" w:eastAsia="zh-CN"/>
        </w:rPr>
        <w:t>测量</w:t>
      </w:r>
      <w:r>
        <w:rPr>
          <w:rFonts w:hint="eastAsia" w:cs="宋体" w:asciiTheme="minorEastAsia" w:hAnsiTheme="minorEastAsia"/>
          <w:bCs/>
          <w:kern w:val="0"/>
          <w:szCs w:val="21"/>
        </w:rPr>
        <w:t>测量过程，测量不确定度评定正确。</w:t>
      </w:r>
      <w:r>
        <w:rPr>
          <w:rFonts w:hint="eastAsia" w:cs="宋体" w:asciiTheme="minorEastAsia" w:hAnsiTheme="minorEastAsia"/>
          <w:bCs/>
          <w:kern w:val="0"/>
          <w:szCs w:val="21"/>
          <w:lang w:val="en-US" w:eastAsia="zh-CN"/>
        </w:rPr>
        <w:t>详见</w:t>
      </w:r>
      <w:r>
        <w:rPr>
          <w:rFonts w:hint="eastAsia" w:cs="宋体" w:asciiTheme="minorEastAsia" w:hAnsiTheme="minorEastAsia"/>
          <w:bCs/>
          <w:kern w:val="0"/>
          <w:szCs w:val="21"/>
        </w:rPr>
        <w:t>附件《测量不确定度评定》</w:t>
      </w:r>
    </w:p>
    <w:p>
      <w:pPr>
        <w:widowControl/>
        <w:spacing w:line="276" w:lineRule="auto"/>
        <w:ind w:firstLine="420" w:firstLineChars="200"/>
        <w:rPr>
          <w:rFonts w:hint="eastAsia" w:cs="宋体" w:asciiTheme="minorEastAsia" w:hAnsiTheme="minorEastAsia"/>
          <w:bCs/>
          <w:kern w:val="0"/>
          <w:szCs w:val="21"/>
        </w:rPr>
      </w:pPr>
      <w:r>
        <w:rPr>
          <w:rFonts w:hint="eastAsia" w:cs="宋体" w:asciiTheme="minorEastAsia" w:hAnsiTheme="minorEastAsia"/>
          <w:bCs/>
          <w:kern w:val="0"/>
          <w:szCs w:val="21"/>
        </w:rPr>
        <w:t>c)有效性确认：查BOPP激光全息防伪膜厚度</w:t>
      </w:r>
      <w:r>
        <w:rPr>
          <w:rFonts w:hint="eastAsia" w:cs="宋体" w:asciiTheme="minorEastAsia" w:hAnsiTheme="minorEastAsia"/>
          <w:bCs/>
          <w:kern w:val="0"/>
          <w:szCs w:val="21"/>
          <w:lang w:val="en-US" w:eastAsia="zh-CN"/>
        </w:rPr>
        <w:t>测量</w:t>
      </w:r>
      <w:r>
        <w:rPr>
          <w:rFonts w:hint="eastAsia" w:cs="宋体" w:asciiTheme="minorEastAsia" w:hAnsiTheme="minorEastAsia"/>
          <w:bCs/>
          <w:kern w:val="0"/>
          <w:szCs w:val="21"/>
        </w:rPr>
        <w:t>测量过程，</w:t>
      </w:r>
      <w:r>
        <w:rPr>
          <w:rFonts w:hint="eastAsia" w:cs="宋体" w:asciiTheme="minorEastAsia" w:hAnsiTheme="minorEastAsia"/>
          <w:bCs/>
          <w:color w:val="000000" w:themeColor="text1"/>
          <w:kern w:val="0"/>
          <w:szCs w:val="21"/>
          <w:lang w:val="en-US" w:eastAsia="zh-CN"/>
          <w14:textFill>
            <w14:solidFill>
              <w14:schemeClr w14:val="tx1"/>
            </w14:solidFill>
          </w14:textFill>
        </w:rPr>
        <w:t>重复测量法</w:t>
      </w:r>
      <w:r>
        <w:rPr>
          <w:rFonts w:hint="eastAsia" w:cs="宋体" w:asciiTheme="minorEastAsia" w:hAnsiTheme="minorEastAsia"/>
          <w:bCs/>
          <w:kern w:val="0"/>
          <w:szCs w:val="21"/>
          <w:lang w:val="en-US" w:eastAsia="zh-CN"/>
        </w:rPr>
        <w:t>结果</w:t>
      </w:r>
      <w:r>
        <w:rPr>
          <w:rFonts w:hint="eastAsia" w:cs="宋体" w:asciiTheme="minorEastAsia" w:hAnsiTheme="minorEastAsia"/>
          <w:bCs/>
          <w:kern w:val="0"/>
          <w:szCs w:val="21"/>
        </w:rPr>
        <w:t>比对进行有效性确认，满足要求。</w:t>
      </w:r>
      <w:r>
        <w:rPr>
          <w:rFonts w:hint="eastAsia" w:cs="宋体" w:asciiTheme="minorEastAsia" w:hAnsiTheme="minorEastAsia"/>
          <w:bCs/>
          <w:kern w:val="0"/>
          <w:szCs w:val="21"/>
          <w:lang w:val="en-US" w:eastAsia="zh-CN"/>
        </w:rPr>
        <w:t>详见</w:t>
      </w:r>
      <w:r>
        <w:rPr>
          <w:rFonts w:hint="eastAsia" w:cs="宋体" w:asciiTheme="minorEastAsia" w:hAnsiTheme="minorEastAsia"/>
          <w:bCs/>
          <w:kern w:val="0"/>
          <w:szCs w:val="21"/>
        </w:rPr>
        <w:t>附件《测量过程有效性确认》</w:t>
      </w:r>
    </w:p>
    <w:p>
      <w:pPr>
        <w:widowControl/>
        <w:spacing w:line="276" w:lineRule="auto"/>
        <w:ind w:firstLine="420" w:firstLineChars="200"/>
        <w:rPr>
          <w:rFonts w:hint="eastAsia" w:cs="宋体" w:asciiTheme="minorEastAsia" w:hAnsiTheme="minorEastAsia"/>
          <w:bCs/>
          <w:kern w:val="0"/>
          <w:szCs w:val="21"/>
        </w:rPr>
      </w:pPr>
      <w:r>
        <w:rPr>
          <w:rFonts w:hint="eastAsia" w:cs="宋体" w:asciiTheme="minorEastAsia" w:hAnsiTheme="minorEastAsia"/>
          <w:bCs/>
          <w:kern w:val="0"/>
          <w:szCs w:val="21"/>
        </w:rPr>
        <w:t>d)测量过程的控制：查BOPP激光全息防伪膜厚度</w:t>
      </w:r>
      <w:r>
        <w:rPr>
          <w:rFonts w:hint="eastAsia" w:cs="宋体" w:asciiTheme="minorEastAsia" w:hAnsiTheme="minorEastAsia"/>
          <w:bCs/>
          <w:kern w:val="0"/>
          <w:szCs w:val="21"/>
          <w:lang w:val="en-US" w:eastAsia="zh-CN"/>
        </w:rPr>
        <w:t>测量</w:t>
      </w:r>
      <w:r>
        <w:rPr>
          <w:rFonts w:hint="eastAsia" w:cs="宋体" w:asciiTheme="minorEastAsia" w:hAnsiTheme="minorEastAsia"/>
          <w:bCs/>
          <w:kern w:val="0"/>
          <w:szCs w:val="21"/>
        </w:rPr>
        <w:t>测量过程，编制了控制规范，对测量人员、测量设备、测量环境进行控制，满足要求。</w:t>
      </w:r>
    </w:p>
    <w:p>
      <w:pPr>
        <w:widowControl/>
        <w:spacing w:line="276" w:lineRule="auto"/>
        <w:ind w:firstLine="420" w:firstLineChars="200"/>
        <w:rPr>
          <w:rFonts w:hint="eastAsia" w:cs="宋体" w:asciiTheme="minorEastAsia" w:hAnsiTheme="minorEastAsia"/>
          <w:bCs/>
          <w:kern w:val="0"/>
          <w:szCs w:val="21"/>
        </w:rPr>
      </w:pPr>
      <w:r>
        <w:rPr>
          <w:rFonts w:hint="eastAsia" w:cs="宋体" w:asciiTheme="minorEastAsia" w:hAnsiTheme="minorEastAsia"/>
          <w:bCs/>
          <w:kern w:val="0"/>
          <w:szCs w:val="21"/>
        </w:rPr>
        <w:t>e)测量过程的监视：查BOPP激光全息防伪膜厚度</w:t>
      </w:r>
      <w:r>
        <w:rPr>
          <w:rFonts w:hint="eastAsia" w:cs="宋体" w:asciiTheme="minorEastAsia" w:hAnsiTheme="minorEastAsia"/>
          <w:bCs/>
          <w:kern w:val="0"/>
          <w:szCs w:val="21"/>
          <w:lang w:val="en-US" w:eastAsia="zh-CN"/>
        </w:rPr>
        <w:t>测量</w:t>
      </w:r>
      <w:r>
        <w:rPr>
          <w:rFonts w:hint="eastAsia" w:cs="宋体" w:asciiTheme="minorEastAsia" w:hAnsiTheme="minorEastAsia"/>
          <w:bCs/>
          <w:kern w:val="0"/>
          <w:szCs w:val="21"/>
        </w:rPr>
        <w:t>测量过程，采用</w:t>
      </w:r>
      <w:r>
        <w:rPr>
          <w:rFonts w:hint="eastAsia" w:ascii="宋体" w:hAnsi="宋体"/>
          <w:szCs w:val="21"/>
          <w:lang w:val="en-US" w:eastAsia="zh-CN"/>
        </w:rPr>
        <w:t>与华测检测认证集团进行了薄膜厚度测量能力验证（证书编号CTI-BT20216034）</w:t>
      </w:r>
    </w:p>
    <w:p>
      <w:pPr>
        <w:widowControl/>
        <w:spacing w:line="276" w:lineRule="auto"/>
        <w:ind w:firstLine="420" w:firstLineChars="200"/>
        <w:rPr>
          <w:rFonts w:hint="eastAsia" w:cs="宋体" w:asciiTheme="minorEastAsia" w:hAnsiTheme="minorEastAsia"/>
          <w:bCs/>
          <w:kern w:val="0"/>
          <w:szCs w:val="21"/>
        </w:rPr>
      </w:pPr>
      <w:r>
        <w:rPr>
          <w:rFonts w:hint="eastAsia" w:cs="宋体" w:asciiTheme="minorEastAsia" w:hAnsiTheme="minorEastAsia"/>
          <w:bCs/>
          <w:kern w:val="0"/>
          <w:szCs w:val="21"/>
        </w:rPr>
        <w:t>f)测量设备的溯源：公司</w:t>
      </w:r>
      <w:r>
        <w:rPr>
          <w:rFonts w:hint="eastAsia" w:cs="宋体" w:asciiTheme="minorEastAsia" w:hAnsiTheme="minorEastAsia"/>
          <w:bCs/>
          <w:kern w:val="0"/>
          <w:szCs w:val="21"/>
          <w:lang w:val="en-US" w:eastAsia="zh-CN"/>
        </w:rPr>
        <w:t>未建立</w:t>
      </w:r>
      <w:r>
        <w:rPr>
          <w:rFonts w:hint="eastAsia" w:cs="宋体" w:asciiTheme="minorEastAsia" w:hAnsiTheme="minorEastAsia"/>
          <w:bCs/>
          <w:kern w:val="0"/>
          <w:szCs w:val="21"/>
        </w:rPr>
        <w:t>最高标准，企业测量设备</w:t>
      </w:r>
      <w:r>
        <w:rPr>
          <w:rFonts w:hint="eastAsia" w:cs="宋体" w:asciiTheme="minorEastAsia" w:hAnsiTheme="minorEastAsia"/>
          <w:bCs/>
          <w:kern w:val="0"/>
          <w:szCs w:val="21"/>
          <w:lang w:val="en-US" w:eastAsia="zh-CN"/>
        </w:rPr>
        <w:t>委托安正计量检测有限公司</w:t>
      </w:r>
      <w:r>
        <w:rPr>
          <w:rFonts w:hint="eastAsia" w:cs="宋体" w:asciiTheme="minorEastAsia" w:hAnsiTheme="minorEastAsia"/>
          <w:bCs/>
          <w:kern w:val="0"/>
          <w:szCs w:val="21"/>
        </w:rPr>
        <w:t>校准。抽查</w:t>
      </w:r>
      <w:r>
        <w:rPr>
          <w:rFonts w:hint="eastAsia" w:cs="宋体" w:asciiTheme="minorEastAsia" w:hAnsiTheme="minorEastAsia"/>
          <w:bCs/>
          <w:kern w:val="0"/>
          <w:szCs w:val="21"/>
          <w:lang w:val="en-US" w:eastAsia="zh-CN"/>
        </w:rPr>
        <w:t>8</w:t>
      </w:r>
      <w:r>
        <w:rPr>
          <w:rFonts w:hint="eastAsia" w:cs="宋体" w:asciiTheme="minorEastAsia" w:hAnsiTheme="minorEastAsia"/>
          <w:bCs/>
          <w:kern w:val="0"/>
          <w:szCs w:val="21"/>
        </w:rPr>
        <w:t>台测量设备检定/校准证书，溯源满足要求。</w:t>
      </w:r>
      <w:r>
        <w:rPr>
          <w:rFonts w:hint="eastAsia" w:cs="宋体" w:asciiTheme="minorEastAsia" w:hAnsiTheme="minorEastAsia"/>
          <w:bCs/>
          <w:kern w:val="0"/>
          <w:szCs w:val="21"/>
          <w:lang w:val="en-US" w:eastAsia="zh-CN"/>
        </w:rPr>
        <w:t>详见</w:t>
      </w:r>
      <w:r>
        <w:rPr>
          <w:rFonts w:hint="eastAsia" w:cs="宋体" w:asciiTheme="minorEastAsia" w:hAnsiTheme="minorEastAsia"/>
          <w:bCs/>
          <w:kern w:val="0"/>
          <w:szCs w:val="21"/>
        </w:rPr>
        <w:t>《测量设备溯源检查表》</w:t>
      </w:r>
    </w:p>
    <w:p>
      <w:pPr>
        <w:widowControl/>
        <w:spacing w:line="276" w:lineRule="auto"/>
        <w:rPr>
          <w:rFonts w:hint="eastAsia" w:cs="宋体" w:asciiTheme="minorEastAsia" w:hAnsiTheme="minorEastAsia"/>
          <w:bCs/>
          <w:kern w:val="0"/>
          <w:szCs w:val="21"/>
        </w:rPr>
      </w:pPr>
      <w:r>
        <w:rPr>
          <w:rFonts w:hint="eastAsia" w:cs="宋体" w:asciiTheme="minorEastAsia" w:hAnsiTheme="minorEastAsia"/>
          <w:bCs/>
          <w:kern w:val="0"/>
          <w:szCs w:val="21"/>
          <w:lang w:val="en-US" w:eastAsia="zh-CN"/>
        </w:rPr>
        <w:t>5</w:t>
      </w:r>
      <w:r>
        <w:rPr>
          <w:rFonts w:hint="eastAsia" w:cs="宋体" w:asciiTheme="minorEastAsia" w:hAnsiTheme="minorEastAsia"/>
          <w:bCs/>
          <w:kern w:val="0"/>
          <w:szCs w:val="21"/>
        </w:rPr>
        <w:t>.能源管理情况：</w:t>
      </w:r>
    </w:p>
    <w:p>
      <w:pPr>
        <w:widowControl/>
        <w:spacing w:line="276" w:lineRule="auto"/>
        <w:ind w:firstLine="210" w:firstLineChars="100"/>
        <w:rPr>
          <w:rFonts w:hint="eastAsia" w:cs="宋体" w:asciiTheme="minorEastAsia" w:hAnsiTheme="minorEastAsia"/>
          <w:bCs/>
          <w:kern w:val="0"/>
          <w:szCs w:val="21"/>
        </w:rPr>
      </w:pPr>
      <w:r>
        <w:rPr>
          <w:rFonts w:hint="eastAsia" w:cs="宋体" w:asciiTheme="minorEastAsia" w:hAnsiTheme="minorEastAsia"/>
          <w:bCs/>
          <w:kern w:val="0"/>
          <w:szCs w:val="21"/>
        </w:rPr>
        <w:t>企业20</w:t>
      </w:r>
      <w:r>
        <w:rPr>
          <w:rFonts w:hint="eastAsia" w:cs="宋体" w:asciiTheme="minorEastAsia" w:hAnsiTheme="minorEastAsia"/>
          <w:bCs/>
          <w:kern w:val="0"/>
          <w:szCs w:val="21"/>
          <w:lang w:val="en-US" w:eastAsia="zh-CN"/>
        </w:rPr>
        <w:t>20</w:t>
      </w:r>
      <w:r>
        <w:rPr>
          <w:rFonts w:hint="eastAsia" w:cs="宋体" w:asciiTheme="minorEastAsia" w:hAnsiTheme="minorEastAsia"/>
          <w:bCs/>
          <w:kern w:val="0"/>
          <w:szCs w:val="21"/>
        </w:rPr>
        <w:t>年耗能</w:t>
      </w:r>
      <w:r>
        <w:rPr>
          <w:rFonts w:hint="eastAsia" w:cs="宋体" w:asciiTheme="minorEastAsia" w:hAnsiTheme="minorEastAsia"/>
          <w:bCs/>
          <w:kern w:val="0"/>
          <w:szCs w:val="21"/>
          <w:lang w:val="en-US" w:eastAsia="zh-CN"/>
        </w:rPr>
        <w:t>0.1851</w:t>
      </w:r>
      <w:r>
        <w:rPr>
          <w:rFonts w:hint="eastAsia" w:cs="宋体" w:asciiTheme="minorEastAsia" w:hAnsiTheme="minorEastAsia"/>
          <w:bCs/>
          <w:kern w:val="0"/>
          <w:szCs w:val="21"/>
        </w:rPr>
        <w:t>万吨标准煤</w:t>
      </w:r>
      <w:r>
        <w:rPr>
          <w:rFonts w:hint="eastAsia" w:cs="宋体" w:asciiTheme="minorEastAsia" w:hAnsiTheme="minorEastAsia"/>
          <w:bCs/>
          <w:kern w:val="0"/>
          <w:szCs w:val="21"/>
          <w:lang w:val="en-US" w:eastAsia="zh-CN"/>
        </w:rPr>
        <w:t>不属于</w:t>
      </w:r>
      <w:r>
        <w:rPr>
          <w:rFonts w:hint="eastAsia" w:cs="宋体" w:asciiTheme="minorEastAsia" w:hAnsiTheme="minorEastAsia"/>
          <w:bCs/>
          <w:kern w:val="0"/>
          <w:szCs w:val="21"/>
        </w:rPr>
        <w:t>重点耗能单位，</w:t>
      </w:r>
      <w:r>
        <w:rPr>
          <w:rFonts w:hint="eastAsia"/>
          <w:szCs w:val="21"/>
          <w:lang w:val="en-US" w:eastAsia="zh-CN"/>
        </w:rPr>
        <w:t>企业能源计量器具均由企业委托当地供能单位检定。</w:t>
      </w:r>
      <w:r>
        <w:rPr>
          <w:rFonts w:hint="eastAsia" w:cs="宋体" w:asciiTheme="minorEastAsia" w:hAnsiTheme="minorEastAsia"/>
          <w:bCs/>
          <w:kern w:val="0"/>
          <w:szCs w:val="21"/>
        </w:rPr>
        <w:t>能源计量</w:t>
      </w:r>
      <w:r>
        <w:rPr>
          <w:rFonts w:hint="eastAsia" w:cs="宋体" w:asciiTheme="minorEastAsia" w:hAnsiTheme="minorEastAsia"/>
          <w:bCs/>
          <w:kern w:val="0"/>
          <w:szCs w:val="21"/>
          <w:lang w:val="en-US" w:eastAsia="zh-CN"/>
        </w:rPr>
        <w:t>器具</w:t>
      </w:r>
      <w:r>
        <w:rPr>
          <w:rFonts w:hint="eastAsia" w:cs="宋体" w:asciiTheme="minorEastAsia" w:hAnsiTheme="minorEastAsia"/>
          <w:bCs/>
          <w:kern w:val="0"/>
          <w:szCs w:val="21"/>
        </w:rPr>
        <w:t>管理满足GB17167</w:t>
      </w:r>
      <w:r>
        <w:rPr>
          <w:rFonts w:hint="eastAsia" w:cs="宋体" w:asciiTheme="minorEastAsia" w:hAnsiTheme="minorEastAsia"/>
          <w:bCs/>
          <w:kern w:val="0"/>
          <w:szCs w:val="21"/>
          <w:lang w:val="en-US" w:eastAsia="zh-CN"/>
        </w:rPr>
        <w:t>标准</w:t>
      </w:r>
      <w:r>
        <w:rPr>
          <w:rFonts w:hint="eastAsia" w:cs="宋体" w:asciiTheme="minorEastAsia" w:hAnsiTheme="minorEastAsia"/>
          <w:bCs/>
          <w:kern w:val="0"/>
          <w:szCs w:val="21"/>
        </w:rPr>
        <w:t>要求。</w:t>
      </w:r>
    </w:p>
    <w:p>
      <w:pPr>
        <w:widowControl/>
        <w:spacing w:line="276" w:lineRule="auto"/>
        <w:rPr>
          <w:rFonts w:hint="eastAsia" w:cs="宋体" w:asciiTheme="minorEastAsia" w:hAnsiTheme="minorEastAsia"/>
          <w:bCs/>
          <w:kern w:val="0"/>
          <w:szCs w:val="21"/>
        </w:rPr>
      </w:pPr>
      <w:r>
        <w:rPr>
          <w:rFonts w:hint="eastAsia" w:cs="宋体" w:asciiTheme="minorEastAsia" w:hAnsiTheme="minorEastAsia"/>
          <w:bCs/>
          <w:kern w:val="0"/>
          <w:szCs w:val="21"/>
          <w:lang w:val="en-US" w:eastAsia="zh-CN"/>
        </w:rPr>
        <w:t>6</w:t>
      </w:r>
      <w:r>
        <w:rPr>
          <w:rFonts w:hint="eastAsia" w:cs="宋体" w:asciiTheme="minorEastAsia" w:hAnsiTheme="minorEastAsia"/>
          <w:bCs/>
          <w:kern w:val="0"/>
          <w:szCs w:val="21"/>
        </w:rPr>
        <w:t>.对认证审核时提出的的不符合项的纠正措施情况有表述： </w:t>
      </w:r>
    </w:p>
    <w:p>
      <w:pPr>
        <w:widowControl/>
        <w:spacing w:line="276" w:lineRule="auto"/>
        <w:ind w:firstLine="210" w:firstLineChars="100"/>
        <w:rPr>
          <w:rFonts w:hint="eastAsia" w:cs="宋体" w:asciiTheme="minorEastAsia" w:hAnsiTheme="minorEastAsia"/>
          <w:bCs/>
          <w:kern w:val="0"/>
          <w:szCs w:val="21"/>
        </w:rPr>
      </w:pPr>
      <w:r>
        <w:rPr>
          <w:rFonts w:hint="eastAsia" w:cs="宋体" w:asciiTheme="minorEastAsia" w:hAnsiTheme="minorEastAsia"/>
          <w:bCs/>
          <w:kern w:val="0"/>
          <w:szCs w:val="21"/>
        </w:rPr>
        <w:t>查20</w:t>
      </w:r>
      <w:r>
        <w:rPr>
          <w:rFonts w:hint="eastAsia" w:cs="宋体" w:asciiTheme="minorEastAsia" w:hAnsiTheme="minorEastAsia"/>
          <w:bCs/>
          <w:kern w:val="0"/>
          <w:szCs w:val="21"/>
          <w:lang w:val="en-US" w:eastAsia="zh-CN"/>
        </w:rPr>
        <w:t>20</w:t>
      </w:r>
      <w:r>
        <w:rPr>
          <w:rFonts w:hint="eastAsia" w:cs="宋体" w:asciiTheme="minorEastAsia" w:hAnsiTheme="minorEastAsia"/>
          <w:bCs/>
          <w:kern w:val="0"/>
          <w:szCs w:val="21"/>
        </w:rPr>
        <w:t>年外审开出了一项不符合项报告：</w:t>
      </w:r>
      <w:r>
        <w:rPr>
          <w:rFonts w:hint="eastAsia" w:cs="宋体" w:asciiTheme="minorEastAsia" w:hAnsiTheme="minorEastAsia"/>
          <w:bCs/>
          <w:kern w:val="0"/>
          <w:szCs w:val="21"/>
          <w:lang w:val="en-US" w:eastAsia="zh-CN"/>
        </w:rPr>
        <w:t>对提供校准服务的外部供方未实施评价；</w:t>
      </w:r>
      <w:r>
        <w:rPr>
          <w:rFonts w:hint="eastAsia" w:cs="宋体" w:asciiTheme="minorEastAsia" w:hAnsiTheme="minorEastAsia"/>
          <w:bCs/>
          <w:kern w:val="0"/>
          <w:szCs w:val="21"/>
        </w:rPr>
        <w:t>企业对不符合组织了纠正，1.</w:t>
      </w:r>
      <w:r>
        <w:rPr>
          <w:rFonts w:hint="eastAsia" w:cs="宋体" w:asciiTheme="minorEastAsia" w:hAnsiTheme="minorEastAsia"/>
          <w:bCs/>
          <w:kern w:val="0"/>
          <w:szCs w:val="21"/>
          <w:lang w:val="en-US" w:eastAsia="zh-CN"/>
        </w:rPr>
        <w:t>对检测校准服务的计量技术机构实施了能力评价</w:t>
      </w:r>
      <w:r>
        <w:rPr>
          <w:rFonts w:hint="eastAsia" w:cs="宋体" w:asciiTheme="minorEastAsia" w:hAnsiTheme="minorEastAsia"/>
          <w:bCs/>
          <w:kern w:val="0"/>
          <w:szCs w:val="21"/>
        </w:rPr>
        <w:t>；2.</w:t>
      </w:r>
      <w:r>
        <w:rPr>
          <w:rFonts w:hint="eastAsia" w:cs="宋体" w:asciiTheme="minorEastAsia" w:hAnsiTheme="minorEastAsia"/>
          <w:bCs/>
          <w:kern w:val="0"/>
          <w:szCs w:val="21"/>
          <w:lang w:val="en-US" w:eastAsia="zh-CN"/>
        </w:rPr>
        <w:t>对其他计量机构的能力证明材料也进行了评价，</w:t>
      </w:r>
      <w:r>
        <w:rPr>
          <w:rFonts w:hint="eastAsia" w:cs="宋体" w:asciiTheme="minorEastAsia" w:hAnsiTheme="minorEastAsia"/>
          <w:bCs/>
          <w:kern w:val="0"/>
          <w:szCs w:val="21"/>
        </w:rPr>
        <w:t>避免相同问题重复发生。验证该不符合项纠正措施有效，同意关闭。</w:t>
      </w:r>
    </w:p>
    <w:p>
      <w:pPr>
        <w:widowControl/>
        <w:spacing w:line="276" w:lineRule="auto"/>
        <w:rPr>
          <w:rFonts w:hint="eastAsia" w:cs="宋体" w:asciiTheme="minorEastAsia" w:hAnsiTheme="minorEastAsia"/>
          <w:bCs/>
          <w:kern w:val="0"/>
          <w:szCs w:val="21"/>
        </w:rPr>
      </w:pPr>
      <w:r>
        <w:rPr>
          <w:rFonts w:hint="eastAsia" w:cs="宋体" w:asciiTheme="minorEastAsia" w:hAnsiTheme="minorEastAsia"/>
          <w:bCs/>
          <w:kern w:val="0"/>
          <w:szCs w:val="21"/>
          <w:lang w:val="en-US" w:eastAsia="zh-CN"/>
        </w:rPr>
        <w:t>7.</w:t>
      </w:r>
      <w:r>
        <w:rPr>
          <w:rFonts w:hint="eastAsia" w:cs="宋体" w:asciiTheme="minorEastAsia" w:hAnsiTheme="minorEastAsia"/>
          <w:bCs/>
          <w:kern w:val="0"/>
          <w:szCs w:val="21"/>
        </w:rPr>
        <w:t>对投诉的处理情况：</w:t>
      </w:r>
    </w:p>
    <w:p>
      <w:pPr>
        <w:widowControl/>
        <w:spacing w:line="276" w:lineRule="auto"/>
        <w:ind w:firstLine="210" w:firstLineChars="100"/>
        <w:rPr>
          <w:rFonts w:hint="eastAsia" w:cs="宋体" w:asciiTheme="minorEastAsia" w:hAnsiTheme="minorEastAsia"/>
          <w:bCs/>
          <w:kern w:val="0"/>
          <w:szCs w:val="21"/>
        </w:rPr>
      </w:pPr>
      <w:r>
        <w:rPr>
          <w:rFonts w:hint="eastAsia" w:cs="宋体" w:asciiTheme="minorEastAsia" w:hAnsiTheme="minorEastAsia"/>
          <w:bCs/>
          <w:kern w:val="0"/>
          <w:szCs w:val="21"/>
        </w:rPr>
        <w:t>企业2020年</w:t>
      </w:r>
      <w:r>
        <w:rPr>
          <w:rFonts w:hint="eastAsia" w:cs="宋体" w:asciiTheme="minorEastAsia" w:hAnsiTheme="minorEastAsia"/>
          <w:bCs/>
          <w:kern w:val="0"/>
          <w:szCs w:val="21"/>
          <w:lang w:val="en-US" w:eastAsia="zh-CN"/>
        </w:rPr>
        <w:t>至今</w:t>
      </w:r>
      <w:r>
        <w:rPr>
          <w:rFonts w:hint="eastAsia" w:cs="宋体" w:asciiTheme="minorEastAsia" w:hAnsiTheme="minorEastAsia"/>
          <w:bCs/>
          <w:kern w:val="0"/>
          <w:szCs w:val="21"/>
        </w:rPr>
        <w:t>有未有顾客的投诉。企业未有违反法律、法规问题和产品质量问题的投诉或重大质量事故发生。</w:t>
      </w:r>
    </w:p>
    <w:p>
      <w:pPr>
        <w:widowControl/>
        <w:spacing w:line="276" w:lineRule="auto"/>
        <w:rPr>
          <w:rFonts w:hint="eastAsia" w:cs="宋体" w:asciiTheme="minorEastAsia" w:hAnsiTheme="minorEastAsia"/>
          <w:bCs/>
          <w:kern w:val="0"/>
          <w:szCs w:val="21"/>
        </w:rPr>
      </w:pPr>
      <w:r>
        <w:rPr>
          <w:rFonts w:hint="eastAsia" w:cs="宋体" w:asciiTheme="minorEastAsia" w:hAnsiTheme="minorEastAsia"/>
          <w:bCs/>
          <w:kern w:val="0"/>
          <w:szCs w:val="21"/>
          <w:lang w:val="en-US" w:eastAsia="zh-CN"/>
        </w:rPr>
        <w:t>8.</w:t>
      </w:r>
      <w:r>
        <w:rPr>
          <w:rFonts w:hint="eastAsia" w:cs="宋体" w:asciiTheme="minorEastAsia" w:hAnsiTheme="minorEastAsia"/>
          <w:bCs/>
          <w:kern w:val="0"/>
          <w:szCs w:val="21"/>
        </w:rPr>
        <w:t>测量管理体系在实现获证客户目标方面的有效性及持续的运作控制情况：</w:t>
      </w:r>
    </w:p>
    <w:p>
      <w:pPr>
        <w:widowControl/>
        <w:spacing w:line="276" w:lineRule="auto"/>
        <w:ind w:firstLine="420" w:firstLineChars="200"/>
        <w:rPr>
          <w:rFonts w:hint="eastAsia" w:cs="宋体" w:asciiTheme="minorEastAsia" w:hAnsiTheme="minorEastAsia"/>
          <w:bCs/>
          <w:kern w:val="0"/>
          <w:szCs w:val="21"/>
        </w:rPr>
      </w:pPr>
      <w:r>
        <w:rPr>
          <w:rFonts w:hint="eastAsia" w:cs="宋体" w:asciiTheme="minorEastAsia" w:hAnsiTheme="minorEastAsia"/>
          <w:bCs/>
          <w:kern w:val="0"/>
          <w:szCs w:val="21"/>
        </w:rPr>
        <w:t>公司制定了</w:t>
      </w:r>
      <w:r>
        <w:rPr>
          <w:rFonts w:hint="eastAsia" w:cs="宋体" w:asciiTheme="minorEastAsia" w:hAnsiTheme="minorEastAsia"/>
          <w:bCs/>
          <w:kern w:val="0"/>
          <w:szCs w:val="21"/>
          <w:lang w:val="en-US" w:eastAsia="zh-CN"/>
        </w:rPr>
        <w:t>5</w:t>
      </w:r>
      <w:r>
        <w:rPr>
          <w:rFonts w:hint="eastAsia" w:cs="宋体" w:asciiTheme="minorEastAsia" w:hAnsiTheme="minorEastAsia"/>
          <w:bCs/>
          <w:kern w:val="0"/>
          <w:szCs w:val="21"/>
        </w:rPr>
        <w:t>项质量目标，对目标进行了分解，查20</w:t>
      </w:r>
      <w:r>
        <w:rPr>
          <w:rFonts w:hint="eastAsia" w:cs="宋体" w:asciiTheme="minorEastAsia" w:hAnsiTheme="minorEastAsia"/>
          <w:bCs/>
          <w:kern w:val="0"/>
          <w:szCs w:val="21"/>
          <w:lang w:val="en-US" w:eastAsia="zh-CN"/>
        </w:rPr>
        <w:t>20</w:t>
      </w:r>
      <w:r>
        <w:rPr>
          <w:rFonts w:hint="eastAsia" w:cs="宋体" w:asciiTheme="minorEastAsia" w:hAnsiTheme="minorEastAsia"/>
          <w:bCs/>
          <w:kern w:val="0"/>
          <w:szCs w:val="21"/>
        </w:rPr>
        <w:t>年</w:t>
      </w:r>
      <w:r>
        <w:rPr>
          <w:rFonts w:hint="eastAsia" w:cs="宋体" w:asciiTheme="minorEastAsia" w:hAnsiTheme="minorEastAsia"/>
          <w:bCs/>
          <w:kern w:val="0"/>
          <w:szCs w:val="21"/>
          <w:lang w:val="en-US" w:eastAsia="zh-CN"/>
        </w:rPr>
        <w:t>7</w:t>
      </w:r>
      <w:r>
        <w:rPr>
          <w:rFonts w:hint="eastAsia" w:cs="宋体" w:asciiTheme="minorEastAsia" w:hAnsiTheme="minorEastAsia"/>
          <w:bCs/>
          <w:kern w:val="0"/>
          <w:szCs w:val="21"/>
        </w:rPr>
        <w:t>月到</w:t>
      </w:r>
      <w:r>
        <w:rPr>
          <w:rFonts w:hint="eastAsia" w:cs="宋体" w:asciiTheme="minorEastAsia" w:hAnsiTheme="minorEastAsia"/>
          <w:bCs/>
          <w:kern w:val="0"/>
          <w:szCs w:val="21"/>
          <w:lang w:val="en-US" w:eastAsia="zh-CN"/>
        </w:rPr>
        <w:t>2021年5月</w:t>
      </w:r>
      <w:r>
        <w:rPr>
          <w:rFonts w:hint="eastAsia" w:cs="宋体" w:asciiTheme="minorEastAsia" w:hAnsiTheme="minorEastAsia"/>
          <w:bCs/>
          <w:kern w:val="0"/>
          <w:szCs w:val="21"/>
        </w:rPr>
        <w:t>11月质量目标完成情况</w:t>
      </w:r>
      <w:r>
        <w:rPr>
          <w:rFonts w:hint="eastAsia" w:cs="宋体" w:asciiTheme="minorEastAsia" w:hAnsiTheme="minorEastAsia"/>
          <w:bCs/>
          <w:kern w:val="0"/>
          <w:szCs w:val="21"/>
          <w:lang w:val="en-US" w:eastAsia="zh-CN"/>
        </w:rPr>
        <w:t>统计</w:t>
      </w:r>
      <w:r>
        <w:rPr>
          <w:rFonts w:hint="eastAsia" w:cs="宋体" w:asciiTheme="minorEastAsia" w:hAnsiTheme="minorEastAsia"/>
          <w:bCs/>
          <w:kern w:val="0"/>
          <w:szCs w:val="21"/>
        </w:rPr>
        <w:t>表，按目标、措施、完成情况、未完成情况进行统计，记录内容全，每月统计，质量目标管理满足要求。</w:t>
      </w:r>
    </w:p>
    <w:p>
      <w:pPr>
        <w:widowControl/>
        <w:numPr>
          <w:ilvl w:val="0"/>
          <w:numId w:val="1"/>
        </w:numPr>
        <w:spacing w:line="276" w:lineRule="auto"/>
        <w:rPr>
          <w:rFonts w:hint="eastAsia" w:cs="宋体" w:asciiTheme="minorEastAsia" w:hAnsiTheme="minorEastAsia"/>
          <w:bCs/>
          <w:kern w:val="0"/>
          <w:szCs w:val="21"/>
          <w:lang w:eastAsia="zh-CN"/>
        </w:rPr>
      </w:pPr>
      <w:r>
        <w:rPr>
          <w:rFonts w:hint="eastAsia" w:cs="宋体" w:asciiTheme="minorEastAsia" w:hAnsiTheme="minorEastAsia"/>
          <w:bCs/>
          <w:kern w:val="0"/>
          <w:szCs w:val="21"/>
        </w:rPr>
        <w:t>对企业组织任何变更的审核</w:t>
      </w:r>
      <w:r>
        <w:rPr>
          <w:rFonts w:hint="eastAsia" w:cs="宋体" w:asciiTheme="minorEastAsia" w:hAnsiTheme="minorEastAsia"/>
          <w:bCs/>
          <w:kern w:val="0"/>
          <w:szCs w:val="21"/>
          <w:lang w:eastAsia="zh-CN"/>
        </w:rPr>
        <w:t>：</w:t>
      </w:r>
    </w:p>
    <w:p>
      <w:pPr>
        <w:widowControl/>
        <w:numPr>
          <w:ilvl w:val="0"/>
          <w:numId w:val="0"/>
        </w:numPr>
        <w:spacing w:line="276" w:lineRule="auto"/>
        <w:ind w:firstLine="420" w:firstLineChars="200"/>
        <w:rPr>
          <w:rFonts w:hint="eastAsia" w:cs="宋体" w:asciiTheme="minorEastAsia" w:hAnsiTheme="minorEastAsia"/>
          <w:bCs/>
          <w:kern w:val="0"/>
          <w:szCs w:val="21"/>
        </w:rPr>
      </w:pPr>
      <w:r>
        <w:rPr>
          <w:rFonts w:hint="eastAsia" w:cs="宋体" w:asciiTheme="minorEastAsia" w:hAnsiTheme="minorEastAsia"/>
          <w:bCs/>
          <w:kern w:val="0"/>
          <w:szCs w:val="21"/>
          <w:lang w:val="en-US" w:eastAsia="zh-CN"/>
        </w:rPr>
        <w:t>2020年7月获证以来未发生任何对体系有影响的变更；</w:t>
      </w:r>
      <w:r>
        <w:rPr>
          <w:rFonts w:hint="eastAsia" w:cs="宋体" w:asciiTheme="minorEastAsia" w:hAnsiTheme="minorEastAsia"/>
          <w:bCs/>
          <w:kern w:val="0"/>
          <w:szCs w:val="21"/>
        </w:rPr>
        <w:t>企业营业执照和组织机构未发生变化。</w:t>
      </w:r>
    </w:p>
    <w:p>
      <w:pPr>
        <w:widowControl/>
        <w:spacing w:line="276" w:lineRule="auto"/>
        <w:rPr>
          <w:rFonts w:hint="eastAsia" w:cs="宋体" w:asciiTheme="minorEastAsia" w:hAnsiTheme="minorEastAsia"/>
          <w:bCs/>
          <w:kern w:val="0"/>
          <w:szCs w:val="21"/>
        </w:rPr>
      </w:pPr>
      <w:r>
        <w:rPr>
          <w:rFonts w:hint="eastAsia" w:cs="宋体" w:asciiTheme="minorEastAsia" w:hAnsiTheme="minorEastAsia"/>
          <w:bCs/>
          <w:kern w:val="0"/>
          <w:szCs w:val="21"/>
          <w:lang w:val="en-US" w:eastAsia="zh-CN"/>
        </w:rPr>
        <w:t>10.</w:t>
      </w:r>
      <w:r>
        <w:rPr>
          <w:rFonts w:hint="eastAsia" w:cs="宋体" w:asciiTheme="minorEastAsia" w:hAnsiTheme="minorEastAsia"/>
          <w:bCs/>
          <w:kern w:val="0"/>
          <w:szCs w:val="21"/>
        </w:rPr>
        <w:t>标志的使用和（或）任何其他对认证资格引用的情况：</w:t>
      </w:r>
    </w:p>
    <w:p>
      <w:pPr>
        <w:widowControl/>
        <w:spacing w:line="276" w:lineRule="auto"/>
        <w:ind w:firstLine="420" w:firstLineChars="200"/>
        <w:rPr>
          <w:rFonts w:hint="eastAsia" w:cs="宋体" w:asciiTheme="minorEastAsia" w:hAnsiTheme="minorEastAsia"/>
          <w:bCs/>
          <w:kern w:val="0"/>
          <w:szCs w:val="21"/>
        </w:rPr>
      </w:pPr>
      <w:r>
        <w:rPr>
          <w:rFonts w:hint="eastAsia" w:cs="宋体" w:asciiTheme="minorEastAsia" w:hAnsiTheme="minorEastAsia"/>
          <w:bCs/>
          <w:kern w:val="0"/>
          <w:szCs w:val="21"/>
        </w:rPr>
        <w:t xml:space="preserve"> 用于</w:t>
      </w:r>
      <w:r>
        <w:rPr>
          <w:rFonts w:hint="eastAsia" w:cs="宋体" w:asciiTheme="minorEastAsia" w:hAnsiTheme="minorEastAsia"/>
          <w:bCs/>
          <w:kern w:val="0"/>
          <w:szCs w:val="21"/>
          <w:lang w:val="en-US" w:eastAsia="zh-CN"/>
        </w:rPr>
        <w:t>市场需求投标和</w:t>
      </w:r>
      <w:r>
        <w:rPr>
          <w:rFonts w:hint="eastAsia" w:cs="宋体" w:asciiTheme="minorEastAsia" w:hAnsiTheme="minorEastAsia"/>
          <w:bCs/>
          <w:kern w:val="0"/>
          <w:szCs w:val="21"/>
        </w:rPr>
        <w:t>企业的形象宣传。</w:t>
      </w:r>
    </w:p>
    <w:p>
      <w:pPr>
        <w:widowControl/>
        <w:tabs>
          <w:tab w:val="right" w:pos="8306"/>
        </w:tabs>
        <w:spacing w:line="360" w:lineRule="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val="en-US" w:eastAsia="zh-CN"/>
        </w:rPr>
        <w:t>11.</w:t>
      </w:r>
      <w:r>
        <w:rPr>
          <w:rFonts w:hint="eastAsia" w:ascii="宋体" w:hAnsi="宋体" w:eastAsia="宋体" w:cs="宋体"/>
          <w:color w:val="auto"/>
          <w:kern w:val="0"/>
          <w:szCs w:val="21"/>
        </w:rPr>
        <w:t xml:space="preserve"> 本次监督审核共出具一般不符合</w:t>
      </w:r>
      <w:r>
        <w:rPr>
          <w:rFonts w:hint="eastAsia" w:ascii="宋体" w:hAnsi="宋体" w:eastAsia="宋体" w:cs="宋体"/>
          <w:color w:val="auto"/>
          <w:kern w:val="0"/>
          <w:szCs w:val="21"/>
          <w:lang w:val="en-US" w:eastAsia="zh-CN"/>
        </w:rPr>
        <w:t>项1项</w:t>
      </w:r>
      <w:r>
        <w:rPr>
          <w:rFonts w:hint="eastAsia" w:ascii="宋体" w:hAnsi="宋体" w:eastAsia="宋体" w:cs="宋体"/>
          <w:color w:val="auto"/>
          <w:kern w:val="0"/>
          <w:szCs w:val="21"/>
        </w:rPr>
        <w:t>，未发现严重的或系统性的不符合情况：</w:t>
      </w:r>
      <w:r>
        <w:rPr>
          <w:rFonts w:hint="eastAsia" w:ascii="宋体" w:hAnsi="宋体" w:eastAsia="宋体" w:cs="宋体"/>
          <w:color w:val="auto"/>
          <w:kern w:val="0"/>
          <w:szCs w:val="21"/>
          <w:lang w:eastAsia="zh-CN"/>
        </w:rPr>
        <w:tab/>
      </w:r>
      <w:bookmarkStart w:id="11" w:name="_GoBack"/>
      <w:bookmarkEnd w:id="11"/>
    </w:p>
    <w:p>
      <w:pPr>
        <w:widowControl/>
        <w:spacing w:line="360" w:lineRule="auto"/>
        <w:jc w:val="left"/>
        <w:rPr>
          <w:rFonts w:hint="default" w:ascii="宋体" w:hAnsi="宋体" w:cs="宋体"/>
          <w:kern w:val="0"/>
          <w:szCs w:val="21"/>
          <w:lang w:val="en-US"/>
        </w:rPr>
      </w:pPr>
      <w:r>
        <w:rPr>
          <w:rFonts w:hint="eastAsia" w:ascii="宋体" w:hAnsi="宋体" w:eastAsia="宋体" w:cs="Times New Roman"/>
          <w:color w:val="000000"/>
          <w:szCs w:val="21"/>
          <w:lang w:val="en-US" w:eastAsia="zh-CN"/>
        </w:rPr>
        <w:t>11.1 查生产中心，</w:t>
      </w:r>
      <w:r>
        <w:rPr>
          <w:rFonts w:hint="eastAsia" w:ascii="宋体" w:hAnsi="宋体"/>
          <w:szCs w:val="21"/>
          <w:lang w:val="en-US" w:eastAsia="zh-CN"/>
        </w:rPr>
        <w:t>BOPP车间编号3221010的“2060计米器”验证依据为JJG《线缆计米器检定规程》，没有依据产品的测量要求设计规定计量要求。不符合GB/T19022标准7.1.1条款要求。</w:t>
      </w:r>
    </w:p>
    <w:p>
      <w:pPr>
        <w:widowControl/>
        <w:spacing w:line="360" w:lineRule="auto"/>
        <w:rPr>
          <w:rFonts w:hint="eastAsia" w:cs="宋体" w:asciiTheme="minorEastAsia" w:hAnsiTheme="minorEastAsia"/>
          <w:bCs/>
          <w:color w:val="0070C0"/>
          <w:kern w:val="0"/>
          <w:szCs w:val="21"/>
        </w:rPr>
      </w:pPr>
    </w:p>
    <w:p>
      <w:pPr>
        <w:widowControl/>
        <w:spacing w:line="276" w:lineRule="auto"/>
        <w:rPr>
          <w:rFonts w:hint="eastAsia" w:cs="宋体" w:asciiTheme="minorEastAsia" w:hAnsiTheme="minorEastAsia"/>
          <w:bCs/>
          <w:kern w:val="0"/>
          <w:szCs w:val="21"/>
        </w:rPr>
      </w:pPr>
      <w:r>
        <w:rPr>
          <w:rFonts w:hint="eastAsia" w:cs="宋体" w:asciiTheme="minorEastAsia" w:hAnsiTheme="minorEastAsia"/>
          <w:bCs/>
          <w:kern w:val="0"/>
          <w:szCs w:val="21"/>
        </w:rPr>
        <w:t>三、监督审核结论意见(含需要说明的事项):</w:t>
      </w:r>
    </w:p>
    <w:p>
      <w:pPr>
        <w:widowControl/>
        <w:spacing w:line="276" w:lineRule="auto"/>
        <w:ind w:firstLine="420" w:firstLineChars="200"/>
        <w:rPr>
          <w:rFonts w:hint="eastAsia" w:cs="宋体" w:asciiTheme="minorEastAsia" w:hAnsiTheme="minorEastAsia"/>
          <w:bCs/>
          <w:kern w:val="0"/>
          <w:szCs w:val="21"/>
        </w:rPr>
      </w:pPr>
      <w:r>
        <w:rPr>
          <w:rFonts w:hint="eastAsia" w:cs="宋体" w:asciiTheme="minorEastAsia" w:hAnsiTheme="minorEastAsia"/>
          <w:bCs/>
          <w:kern w:val="0"/>
          <w:szCs w:val="21"/>
        </w:rPr>
        <w:t>通过20</w:t>
      </w:r>
      <w:r>
        <w:rPr>
          <w:rFonts w:hint="eastAsia" w:cs="宋体" w:asciiTheme="minorEastAsia" w:hAnsiTheme="minorEastAsia"/>
          <w:bCs/>
          <w:kern w:val="0"/>
          <w:szCs w:val="21"/>
          <w:lang w:val="en-US" w:eastAsia="zh-CN"/>
        </w:rPr>
        <w:t>21</w:t>
      </w:r>
      <w:r>
        <w:rPr>
          <w:rFonts w:hint="eastAsia" w:cs="宋体" w:asciiTheme="minorEastAsia" w:hAnsiTheme="minorEastAsia"/>
          <w:bCs/>
          <w:kern w:val="0"/>
          <w:szCs w:val="21"/>
        </w:rPr>
        <w:t>年</w:t>
      </w:r>
      <w:r>
        <w:rPr>
          <w:rFonts w:hint="eastAsia" w:cs="宋体" w:asciiTheme="minorEastAsia" w:hAnsiTheme="minorEastAsia"/>
          <w:bCs/>
          <w:kern w:val="0"/>
          <w:szCs w:val="21"/>
          <w:lang w:val="en-US" w:eastAsia="zh-CN"/>
        </w:rPr>
        <w:t>6</w:t>
      </w:r>
      <w:r>
        <w:rPr>
          <w:rFonts w:hint="eastAsia" w:cs="宋体" w:asciiTheme="minorEastAsia" w:hAnsiTheme="minorEastAsia"/>
          <w:bCs/>
          <w:kern w:val="0"/>
          <w:szCs w:val="21"/>
        </w:rPr>
        <w:t>月</w:t>
      </w:r>
      <w:r>
        <w:rPr>
          <w:rFonts w:hint="eastAsia" w:cs="宋体" w:asciiTheme="minorEastAsia" w:hAnsiTheme="minorEastAsia"/>
          <w:bCs/>
          <w:kern w:val="0"/>
          <w:szCs w:val="21"/>
          <w:lang w:val="en-US" w:eastAsia="zh-CN"/>
        </w:rPr>
        <w:t>10</w:t>
      </w:r>
      <w:r>
        <w:rPr>
          <w:rFonts w:hint="eastAsia" w:cs="宋体" w:asciiTheme="minorEastAsia" w:hAnsiTheme="minorEastAsia"/>
          <w:bCs/>
          <w:kern w:val="0"/>
          <w:szCs w:val="21"/>
        </w:rPr>
        <w:t>日-</w:t>
      </w:r>
      <w:r>
        <w:rPr>
          <w:rFonts w:hint="eastAsia" w:cs="宋体" w:asciiTheme="minorEastAsia" w:hAnsiTheme="minorEastAsia"/>
          <w:bCs/>
          <w:kern w:val="0"/>
          <w:szCs w:val="21"/>
          <w:lang w:val="en-US" w:eastAsia="zh-CN"/>
        </w:rPr>
        <w:t>11</w:t>
      </w:r>
      <w:r>
        <w:rPr>
          <w:rFonts w:hint="eastAsia" w:cs="宋体" w:asciiTheme="minorEastAsia" w:hAnsiTheme="minorEastAsia"/>
          <w:bCs/>
          <w:kern w:val="0"/>
          <w:szCs w:val="21"/>
        </w:rPr>
        <w:t>日，对</w:t>
      </w:r>
      <w:r>
        <w:rPr>
          <w:rFonts w:cs="宋体" w:asciiTheme="minorEastAsia" w:hAnsiTheme="minorEastAsia"/>
          <w:kern w:val="0"/>
          <w:szCs w:val="21"/>
        </w:rPr>
        <w:t>海南赛诺实业有限公司</w:t>
      </w:r>
      <w:r>
        <w:rPr>
          <w:rFonts w:hint="eastAsia" w:cs="宋体" w:asciiTheme="minorEastAsia" w:hAnsiTheme="minorEastAsia"/>
          <w:bCs/>
          <w:kern w:val="0"/>
          <w:szCs w:val="21"/>
        </w:rPr>
        <w:t>监督审核.验证了公司在去年一年内，测量管理体系运作情况，公司领导重视体系运行和管理，体系文件得到有效实施，企业管理规范，关键测量过程1项，过程受控、监视方法正确有效，重要测量人员能力受控，测量设备、测量环境、测量软件、测量记录及外部供方管理等各项工作</w:t>
      </w:r>
      <w:r>
        <w:rPr>
          <w:rFonts w:hint="eastAsia" w:cs="宋体" w:asciiTheme="minorEastAsia" w:hAnsiTheme="minorEastAsia"/>
          <w:bCs/>
          <w:kern w:val="0"/>
          <w:szCs w:val="21"/>
          <w:lang w:val="en-US" w:eastAsia="zh-CN"/>
        </w:rPr>
        <w:t>符合要求</w:t>
      </w:r>
      <w:r>
        <w:rPr>
          <w:rFonts w:hint="eastAsia" w:cs="宋体" w:asciiTheme="minorEastAsia" w:hAnsiTheme="minorEastAsia"/>
          <w:bCs/>
          <w:kern w:val="0"/>
          <w:szCs w:val="21"/>
        </w:rPr>
        <w:t>。综上所述，审核组认为</w:t>
      </w:r>
      <w:r>
        <w:rPr>
          <w:rFonts w:cs="宋体" w:asciiTheme="minorEastAsia" w:hAnsiTheme="minorEastAsia"/>
          <w:kern w:val="0"/>
          <w:szCs w:val="21"/>
        </w:rPr>
        <w:t>海南赛诺实业有限公司</w:t>
      </w:r>
      <w:r>
        <w:rPr>
          <w:rFonts w:hint="eastAsia" w:cs="宋体" w:asciiTheme="minorEastAsia" w:hAnsiTheme="minorEastAsia"/>
          <w:bCs/>
          <w:kern w:val="0"/>
          <w:szCs w:val="21"/>
        </w:rPr>
        <w:t>测量管理体系，符合GB/T 19022-2003标准要求，对体系运行具有持续的有效性、符合性予以肯定。建议报请北京国标联合认证有限公司批准通过监督审核。</w:t>
      </w:r>
    </w:p>
    <w:p>
      <w:pPr>
        <w:widowControl/>
        <w:spacing w:line="276" w:lineRule="auto"/>
        <w:rPr>
          <w:rFonts w:hint="eastAsia" w:cs="宋体" w:asciiTheme="minorEastAsia" w:hAnsiTheme="minorEastAsia"/>
          <w:bCs/>
          <w:kern w:val="0"/>
          <w:szCs w:val="21"/>
        </w:rPr>
      </w:pPr>
    </w:p>
    <w:p>
      <w:pPr>
        <w:widowControl/>
        <w:spacing w:line="276" w:lineRule="auto"/>
        <w:rPr>
          <w:rFonts w:hint="eastAsia" w:cs="宋体" w:asciiTheme="minorEastAsia" w:hAnsiTheme="minorEastAsia"/>
          <w:bCs/>
          <w:kern w:val="0"/>
          <w:szCs w:val="21"/>
        </w:rPr>
      </w:pPr>
      <w:r>
        <w:rPr>
          <w:rFonts w:hint="eastAsia" w:ascii="Times New Roman" w:hAnsi="Times New Roman" w:eastAsia="宋体" w:cs="Times New Roman"/>
          <w:color w:val="000000"/>
          <w:kern w:val="0"/>
          <w:sz w:val="22"/>
          <w:szCs w:val="22"/>
          <w:lang w:val="en-US" w:eastAsia="zh-CN" w:bidi="ar"/>
        </w:rPr>
        <w:drawing>
          <wp:anchor distT="0" distB="0" distL="114300" distR="114300" simplePos="0" relativeHeight="251660288" behindDoc="0" locked="0" layoutInCell="1" allowOverlap="1">
            <wp:simplePos x="0" y="0"/>
            <wp:positionH relativeFrom="column">
              <wp:posOffset>1485265</wp:posOffset>
            </wp:positionH>
            <wp:positionV relativeFrom="paragraph">
              <wp:posOffset>176530</wp:posOffset>
            </wp:positionV>
            <wp:extent cx="671830" cy="322580"/>
            <wp:effectExtent l="0" t="0" r="1270" b="7620"/>
            <wp:wrapNone/>
            <wp:docPr id="1" name="图片 20" descr="c0183d15897d8cab28562708f8dd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descr="c0183d15897d8cab28562708f8ddd10"/>
                    <pic:cNvPicPr>
                      <a:picLocks noChangeAspect="1"/>
                    </pic:cNvPicPr>
                  </pic:nvPicPr>
                  <pic:blipFill>
                    <a:blip r:embed="rId6"/>
                    <a:stretch>
                      <a:fillRect/>
                    </a:stretch>
                  </pic:blipFill>
                  <pic:spPr>
                    <a:xfrm>
                      <a:off x="0" y="0"/>
                      <a:ext cx="671830" cy="322580"/>
                    </a:xfrm>
                    <a:prstGeom prst="rect">
                      <a:avLst/>
                    </a:prstGeom>
                    <a:noFill/>
                    <a:ln>
                      <a:noFill/>
                    </a:ln>
                  </pic:spPr>
                </pic:pic>
              </a:graphicData>
            </a:graphic>
          </wp:anchor>
        </w:drawing>
      </w:r>
    </w:p>
    <w:p>
      <w:pPr>
        <w:widowControl/>
        <w:spacing w:line="276" w:lineRule="auto"/>
        <w:rPr>
          <w:rFonts w:hint="default" w:ascii="宋体" w:hAnsi="宋体" w:eastAsia="宋体" w:cs="宋体"/>
          <w:kern w:val="0"/>
          <w:szCs w:val="21"/>
          <w:lang w:val="en-US" w:eastAsia="zh-CN"/>
        </w:rPr>
      </w:pPr>
      <w:r>
        <w:rPr>
          <w:rFonts w:hint="eastAsia" w:cs="宋体" w:asciiTheme="minorEastAsia" w:hAnsiTheme="minorEastAsia"/>
          <w:bCs/>
          <w:kern w:val="0"/>
          <w:szCs w:val="21"/>
        </w:rPr>
        <w:t xml:space="preserve">审核组组长（签字）：                      </w:t>
      </w:r>
      <w:r>
        <w:rPr>
          <w:rFonts w:hint="eastAsia" w:ascii="宋体" w:hAnsi="宋体" w:eastAsia="宋体" w:cs="宋体"/>
          <w:kern w:val="0"/>
          <w:szCs w:val="21"/>
        </w:rPr>
        <w:t xml:space="preserve">           </w:t>
      </w:r>
      <w:r>
        <w:rPr>
          <w:rFonts w:ascii="宋体" w:hAnsi="宋体" w:eastAsia="宋体" w:cs="宋体"/>
          <w:kern w:val="0"/>
          <w:szCs w:val="21"/>
        </w:rPr>
        <w:t>日</w:t>
      </w:r>
      <w:r>
        <w:rPr>
          <w:rFonts w:hint="eastAsia" w:ascii="宋体" w:hAnsi="宋体" w:eastAsia="宋体" w:cs="宋体"/>
          <w:kern w:val="0"/>
          <w:szCs w:val="21"/>
        </w:rPr>
        <w:t xml:space="preserve"> </w:t>
      </w:r>
      <w:r>
        <w:rPr>
          <w:rFonts w:ascii="宋体" w:hAnsi="宋体" w:eastAsia="宋体" w:cs="宋体"/>
          <w:kern w:val="0"/>
          <w:szCs w:val="21"/>
        </w:rPr>
        <w:t>期：</w:t>
      </w:r>
      <w:r>
        <w:rPr>
          <w:rFonts w:hint="eastAsia" w:ascii="宋体" w:hAnsi="宋体" w:eastAsia="宋体" w:cs="宋体"/>
          <w:kern w:val="0"/>
          <w:szCs w:val="21"/>
          <w:lang w:val="en-US" w:eastAsia="zh-CN"/>
        </w:rPr>
        <w:t>2021.6.11</w:t>
      </w:r>
    </w:p>
    <w:p>
      <w:pPr>
        <w:widowControl/>
        <w:spacing w:line="360" w:lineRule="auto"/>
        <w:jc w:val="left"/>
        <w:rPr>
          <w:rFonts w:ascii="宋体" w:hAnsi="宋体" w:eastAsia="宋体" w:cs="宋体"/>
          <w:kern w:val="0"/>
          <w:szCs w:val="21"/>
        </w:rPr>
      </w:pPr>
    </w:p>
    <w:p>
      <w:pPr>
        <w:widowControl/>
        <w:spacing w:line="360" w:lineRule="auto"/>
        <w:jc w:val="left"/>
        <w:rPr>
          <w:rFonts w:hint="default" w:ascii="宋体" w:hAnsi="宋体" w:eastAsia="宋体" w:cs="宋体"/>
          <w:color w:val="000000"/>
          <w:kern w:val="0"/>
          <w:szCs w:val="21"/>
          <w:lang w:val="en-US" w:eastAsia="zh-CN"/>
        </w:rPr>
      </w:pPr>
      <w:r>
        <w:rPr>
          <w:rFonts w:hint="eastAsia" w:ascii="Times New Roman" w:hAnsi="Times New Roman" w:eastAsia="宋体" w:cs="Times New Roman"/>
          <w:color w:val="000000"/>
          <w:kern w:val="0"/>
          <w:sz w:val="22"/>
          <w:szCs w:val="22"/>
          <w:lang w:val="en-US" w:eastAsia="zh-CN" w:bidi="ar"/>
        </w:rPr>
        <w:drawing>
          <wp:anchor distT="0" distB="0" distL="114300" distR="114300" simplePos="0" relativeHeight="251661312" behindDoc="0" locked="0" layoutInCell="1" allowOverlap="1">
            <wp:simplePos x="0" y="0"/>
            <wp:positionH relativeFrom="column">
              <wp:posOffset>1263015</wp:posOffset>
            </wp:positionH>
            <wp:positionV relativeFrom="paragraph">
              <wp:posOffset>35560</wp:posOffset>
            </wp:positionV>
            <wp:extent cx="671830" cy="322580"/>
            <wp:effectExtent l="0" t="0" r="1270" b="7620"/>
            <wp:wrapNone/>
            <wp:docPr id="4" name="图片 20" descr="c0183d15897d8cab28562708f8dd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descr="c0183d15897d8cab28562708f8ddd10"/>
                    <pic:cNvPicPr>
                      <a:picLocks noChangeAspect="1"/>
                    </pic:cNvPicPr>
                  </pic:nvPicPr>
                  <pic:blipFill>
                    <a:blip r:embed="rId6"/>
                    <a:stretch>
                      <a:fillRect/>
                    </a:stretch>
                  </pic:blipFill>
                  <pic:spPr>
                    <a:xfrm>
                      <a:off x="0" y="0"/>
                      <a:ext cx="671830" cy="322580"/>
                    </a:xfrm>
                    <a:prstGeom prst="rect">
                      <a:avLst/>
                    </a:prstGeom>
                    <a:noFill/>
                    <a:ln>
                      <a:noFill/>
                    </a:ln>
                  </pic:spPr>
                </pic:pic>
              </a:graphicData>
            </a:graphic>
          </wp:anchor>
        </w:drawing>
      </w:r>
      <w:r>
        <w:rPr>
          <w:rFonts w:ascii="宋体" w:hAnsi="宋体" w:eastAsia="宋体" w:cs="宋体"/>
          <w:color w:val="000000"/>
          <w:kern w:val="0"/>
          <w:szCs w:val="21"/>
        </w:rPr>
        <w:t>审核</w:t>
      </w:r>
      <w:r>
        <w:rPr>
          <w:rFonts w:hint="eastAsia" w:ascii="宋体" w:hAnsi="宋体" w:eastAsia="宋体" w:cs="宋体"/>
          <w:color w:val="000000"/>
          <w:kern w:val="0"/>
          <w:szCs w:val="21"/>
        </w:rPr>
        <w:t>组成员(</w:t>
      </w:r>
      <w:r>
        <w:rPr>
          <w:rFonts w:ascii="宋体" w:hAnsi="宋体" w:eastAsia="宋体" w:cs="宋体"/>
          <w:color w:val="000000"/>
          <w:kern w:val="0"/>
          <w:szCs w:val="21"/>
        </w:rPr>
        <w:t>签字</w:t>
      </w:r>
      <w:r>
        <w:rPr>
          <w:rFonts w:hint="eastAsia" w:ascii="宋体" w:hAnsi="宋体" w:eastAsia="宋体" w:cs="宋体"/>
          <w:color w:val="000000"/>
          <w:kern w:val="0"/>
          <w:szCs w:val="21"/>
        </w:rPr>
        <w:t>)</w:t>
      </w:r>
      <w:r>
        <w:rPr>
          <w:rFonts w:ascii="宋体" w:hAnsi="宋体" w:eastAsia="宋体" w:cs="宋体"/>
          <w:color w:val="000000"/>
          <w:kern w:val="0"/>
          <w:szCs w:val="21"/>
        </w:rPr>
        <w:t>：</w:t>
      </w:r>
      <w:r>
        <w:rPr>
          <w:rFonts w:hint="eastAsia" w:ascii="宋体" w:hAnsi="宋体" w:eastAsia="宋体" w:cs="宋体"/>
          <w:color w:val="000000"/>
          <w:kern w:val="0"/>
          <w:szCs w:val="21"/>
        </w:rPr>
        <w:t xml:space="preserve">                                   </w:t>
      </w:r>
      <w:r>
        <w:rPr>
          <w:rFonts w:ascii="宋体" w:hAnsi="宋体" w:eastAsia="宋体" w:cs="宋体"/>
          <w:color w:val="000000"/>
          <w:kern w:val="0"/>
          <w:szCs w:val="21"/>
        </w:rPr>
        <w:t>日</w:t>
      </w:r>
      <w:r>
        <w:rPr>
          <w:rFonts w:hint="eastAsia" w:ascii="宋体" w:hAnsi="宋体" w:eastAsia="宋体" w:cs="宋体"/>
          <w:color w:val="000000"/>
          <w:kern w:val="0"/>
          <w:szCs w:val="21"/>
        </w:rPr>
        <w:t xml:space="preserve"> </w:t>
      </w:r>
      <w:r>
        <w:rPr>
          <w:rFonts w:ascii="宋体" w:hAnsi="宋体" w:eastAsia="宋体" w:cs="宋体"/>
          <w:color w:val="000000"/>
          <w:kern w:val="0"/>
          <w:szCs w:val="21"/>
        </w:rPr>
        <w:t>期：</w:t>
      </w:r>
      <w:r>
        <w:rPr>
          <w:rFonts w:hint="eastAsia" w:ascii="宋体" w:hAnsi="宋体" w:eastAsia="宋体" w:cs="宋体"/>
          <w:color w:val="000000"/>
          <w:kern w:val="0"/>
          <w:szCs w:val="21"/>
        </w:rPr>
        <w:t xml:space="preserve">  </w:t>
      </w:r>
      <w:r>
        <w:rPr>
          <w:rFonts w:hint="eastAsia" w:ascii="宋体" w:hAnsi="宋体" w:eastAsia="宋体" w:cs="宋体"/>
          <w:color w:val="000000"/>
          <w:kern w:val="0"/>
          <w:szCs w:val="21"/>
          <w:lang w:val="en-US" w:eastAsia="zh-CN"/>
        </w:rPr>
        <w:t>2021.6.11</w:t>
      </w:r>
    </w:p>
    <w:p>
      <w:pPr>
        <w:widowControl/>
        <w:spacing w:line="276" w:lineRule="auto"/>
        <w:ind w:right="945"/>
        <w:jc w:val="left"/>
        <w:rPr>
          <w:rFonts w:ascii="宋体" w:hAnsi="宋体" w:eastAsia="宋体" w:cs="宋体"/>
          <w:kern w:val="0"/>
          <w:szCs w:val="28"/>
        </w:rPr>
      </w:pPr>
    </w:p>
    <w:p>
      <w:pPr>
        <w:widowControl/>
        <w:spacing w:line="276" w:lineRule="auto"/>
        <w:ind w:right="1050"/>
        <w:rPr>
          <w:rFonts w:ascii="宋体" w:hAnsi="宋体" w:eastAsia="宋体" w:cs="宋体"/>
          <w:b/>
          <w:bCs/>
          <w:kern w:val="0"/>
          <w:szCs w:val="21"/>
        </w:rPr>
      </w:pPr>
    </w:p>
    <w:p>
      <w:pPr>
        <w:widowControl/>
        <w:spacing w:line="360" w:lineRule="auto"/>
        <w:jc w:val="left"/>
        <w:rPr>
          <w:rFonts w:ascii="宋体" w:hAnsi="宋体" w:cs="宋体"/>
          <w:kern w:val="0"/>
          <w:szCs w:val="21"/>
        </w:rPr>
      </w:pPr>
      <w:r>
        <w:rPr>
          <w:rFonts w:hint="eastAsia" w:ascii="宋体" w:hAnsi="宋体" w:cs="宋体"/>
          <w:kern w:val="0"/>
          <w:szCs w:val="21"/>
        </w:rPr>
        <w:t>北京国标联合认证有限公司(盖章)                       日 期：</w:t>
      </w:r>
    </w:p>
    <w:p>
      <w:pPr>
        <w:widowControl/>
        <w:spacing w:line="276" w:lineRule="auto"/>
        <w:ind w:right="1050"/>
        <w:rPr>
          <w:rFonts w:ascii="宋体" w:hAnsi="宋体" w:eastAsia="宋体" w:cs="宋体"/>
          <w:kern w:val="0"/>
          <w:szCs w:val="28"/>
        </w:rPr>
      </w:pPr>
    </w:p>
    <w:sectPr>
      <w:headerReference r:id="rId3" w:type="default"/>
      <w:pgSz w:w="11906" w:h="16838"/>
      <w:pgMar w:top="1440" w:right="1800" w:bottom="1440" w:left="180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spacing w:line="320" w:lineRule="exact"/>
      <w:ind w:left="-86" w:leftChars="-41" w:firstLine="720" w:firstLineChars="400"/>
      <w:jc w:val="left"/>
    </w:pPr>
    <w:bookmarkStart w:id="10" w:name="OLE_LINK1"/>
    <w:r>
      <w:drawing>
        <wp:anchor distT="0" distB="0" distL="114300" distR="114300" simplePos="0" relativeHeight="251659264" behindDoc="1" locked="0" layoutInCell="1" allowOverlap="1">
          <wp:simplePos x="0" y="0"/>
          <wp:positionH relativeFrom="column">
            <wp:posOffset>-248285</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p>
  <w:p>
    <w:pPr>
      <w:pStyle w:val="3"/>
      <w:pBdr>
        <w:bottom w:val="none" w:color="auto" w:sz="0" w:space="0"/>
      </w:pBdr>
      <w:spacing w:line="320" w:lineRule="exact"/>
      <w:ind w:firstLine="315" w:firstLineChars="150"/>
      <w:jc w:val="left"/>
      <w:rPr>
        <w:rStyle w:val="8"/>
        <w:rFonts w:hint="default" w:ascii="Times New Roman" w:hAnsi="Times New Roman" w:cs="Times New Roman"/>
        <w:szCs w:val="21"/>
      </w:rPr>
    </w:pPr>
    <w:r>
      <w:rPr>
        <w:sz w:val="21"/>
        <w:szCs w:val="21"/>
      </w:rPr>
      <mc:AlternateContent>
        <mc:Choice Requires="wps">
          <w:drawing>
            <wp:anchor distT="0" distB="0" distL="114300" distR="114300" simplePos="0" relativeHeight="251659264" behindDoc="0" locked="0" layoutInCell="1" allowOverlap="1">
              <wp:simplePos x="0" y="0"/>
              <wp:positionH relativeFrom="column">
                <wp:posOffset>3669665</wp:posOffset>
              </wp:positionH>
              <wp:positionV relativeFrom="paragraph">
                <wp:posOffset>198120</wp:posOffset>
              </wp:positionV>
              <wp:extent cx="2208530" cy="261620"/>
              <wp:effectExtent l="0" t="0" r="1270" b="5080"/>
              <wp:wrapNone/>
              <wp:docPr id="5" name="文本框 1"/>
              <wp:cNvGraphicFramePr/>
              <a:graphic xmlns:a="http://schemas.openxmlformats.org/drawingml/2006/main">
                <a:graphicData uri="http://schemas.microsoft.com/office/word/2010/wordprocessingShape">
                  <wps:wsp>
                    <wps:cNvSpPr txBox="1"/>
                    <wps:spPr>
                      <a:xfrm>
                        <a:off x="0" y="0"/>
                        <a:ext cx="2208530" cy="261620"/>
                      </a:xfrm>
                      <a:prstGeom prst="rect">
                        <a:avLst/>
                      </a:prstGeom>
                      <a:solidFill>
                        <a:srgbClr val="FFFFFF"/>
                      </a:solidFill>
                      <a:ln>
                        <a:noFill/>
                      </a:ln>
                    </wps:spPr>
                    <wps:txbx>
                      <w:txbxContent>
                        <w:p>
                          <w:pPr>
                            <w:rPr>
                              <w:sz w:val="18"/>
                              <w:szCs w:val="18"/>
                            </w:rPr>
                          </w:pPr>
                          <w:r>
                            <w:rPr>
                              <w:rFonts w:ascii="Times New Roman" w:hAnsi="Times New Roman" w:cs="Times New Roman"/>
                              <w:szCs w:val="21"/>
                            </w:rPr>
                            <w:t>ISC-</w:t>
                          </w:r>
                          <w:r>
                            <w:rPr>
                              <w:rFonts w:hint="eastAsia" w:ascii="Times New Roman" w:hAnsi="Times New Roman" w:cs="Times New Roman"/>
                              <w:szCs w:val="21"/>
                            </w:rPr>
                            <w:t>A-II</w:t>
                          </w:r>
                          <w:r>
                            <w:rPr>
                              <w:rFonts w:ascii="Times New Roman" w:hAnsi="Times New Roman" w:cs="Times New Roman"/>
                              <w:szCs w:val="21"/>
                            </w:rPr>
                            <w:t>-1</w:t>
                          </w:r>
                          <w:r>
                            <w:rPr>
                              <w:rFonts w:hint="eastAsia" w:ascii="Times New Roman" w:hAnsi="Times New Roman" w:cs="Times New Roman"/>
                              <w:szCs w:val="21"/>
                            </w:rPr>
                            <w:t>2</w:t>
                          </w:r>
                          <w:r>
                            <w:rPr>
                              <w:rFonts w:hint="eastAsia"/>
                              <w:szCs w:val="21"/>
                            </w:rPr>
                            <w:t>监督审核报告</w:t>
                          </w:r>
                          <w:r>
                            <w:rPr>
                              <w:rFonts w:ascii="Times New Roman" w:hAnsi="Times New Roman" w:cs="Times New Roman"/>
                              <w:szCs w:val="21"/>
                            </w:rPr>
                            <w:t>（0</w:t>
                          </w:r>
                          <w:r>
                            <w:rPr>
                              <w:rFonts w:hint="eastAsia" w:ascii="Times New Roman" w:hAnsi="Times New Roman" w:cs="Times New Roman"/>
                              <w:szCs w:val="21"/>
                            </w:rPr>
                            <w:t>7</w:t>
                          </w:r>
                          <w:r>
                            <w:rPr>
                              <w:rFonts w:ascii="Times New Roman" w:hAnsi="Times New Roman" w:cs="Times New Roman"/>
                              <w:szCs w:val="21"/>
                            </w:rPr>
                            <w:t>版）</w:t>
                          </w:r>
                        </w:p>
                      </w:txbxContent>
                    </wps:txbx>
                    <wps:bodyPr upright="1"/>
                  </wps:wsp>
                </a:graphicData>
              </a:graphic>
            </wp:anchor>
          </w:drawing>
        </mc:Choice>
        <mc:Fallback>
          <w:pict>
            <v:shape id="文本框 1" o:spid="_x0000_s1026" o:spt="202" type="#_x0000_t202" style="position:absolute;left:0pt;margin-left:288.95pt;margin-top:15.6pt;height:20.6pt;width:173.9pt;z-index:251659264;mso-width-relative:page;mso-height-relative:page;" fillcolor="#FFFFFF" filled="t" stroked="f" coordsize="21600,21600" o:gfxdata="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KUaIB/XAAAACQEAAA8AAAAAAAAAAQAgAAAAIgAAAGRycy9kb3ducmV2Lnht&#10;bFBLAQIUABQAAAAIAIdO4kDBs2wEwQEAAHcDAAAOAAAAAAAAAAEAIAAAACYBAABkcnMvZTJvRG9j&#10;LnhtbFBLBQYAAAAABgAGAFkBAABZBQAAAAA=&#10;">
              <v:fill on="t" focussize="0,0"/>
              <v:stroke on="f"/>
              <v:imagedata o:title=""/>
              <o:lock v:ext="edit" aspectratio="f"/>
              <v:textbox>
                <w:txbxContent>
                  <w:p>
                    <w:pPr>
                      <w:rPr>
                        <w:sz w:val="18"/>
                        <w:szCs w:val="18"/>
                      </w:rPr>
                    </w:pPr>
                    <w:r>
                      <w:rPr>
                        <w:rFonts w:ascii="Times New Roman" w:hAnsi="Times New Roman" w:cs="Times New Roman"/>
                        <w:szCs w:val="21"/>
                      </w:rPr>
                      <w:t>ISC-</w:t>
                    </w:r>
                    <w:r>
                      <w:rPr>
                        <w:rFonts w:hint="eastAsia" w:ascii="Times New Roman" w:hAnsi="Times New Roman" w:cs="Times New Roman"/>
                        <w:szCs w:val="21"/>
                      </w:rPr>
                      <w:t>A-II</w:t>
                    </w:r>
                    <w:r>
                      <w:rPr>
                        <w:rFonts w:ascii="Times New Roman" w:hAnsi="Times New Roman" w:cs="Times New Roman"/>
                        <w:szCs w:val="21"/>
                      </w:rPr>
                      <w:t>-1</w:t>
                    </w:r>
                    <w:r>
                      <w:rPr>
                        <w:rFonts w:hint="eastAsia" w:ascii="Times New Roman" w:hAnsi="Times New Roman" w:cs="Times New Roman"/>
                        <w:szCs w:val="21"/>
                      </w:rPr>
                      <w:t>2</w:t>
                    </w:r>
                    <w:r>
                      <w:rPr>
                        <w:rFonts w:hint="eastAsia"/>
                        <w:szCs w:val="21"/>
                      </w:rPr>
                      <w:t>监督审核报告</w:t>
                    </w:r>
                    <w:r>
                      <w:rPr>
                        <w:rFonts w:ascii="Times New Roman" w:hAnsi="Times New Roman" w:cs="Times New Roman"/>
                        <w:szCs w:val="21"/>
                      </w:rPr>
                      <w:t>（0</w:t>
                    </w:r>
                    <w:r>
                      <w:rPr>
                        <w:rFonts w:hint="eastAsia" w:ascii="Times New Roman" w:hAnsi="Times New Roman" w:cs="Times New Roman"/>
                        <w:szCs w:val="21"/>
                      </w:rPr>
                      <w:t>7</w:t>
                    </w:r>
                    <w:r>
                      <w:rPr>
                        <w:rFonts w:ascii="Times New Roman" w:hAnsi="Times New Roman" w:cs="Times New Roman"/>
                        <w:szCs w:val="21"/>
                      </w:rPr>
                      <w:t>版）</w:t>
                    </w:r>
                  </w:p>
                </w:txbxContent>
              </v:textbox>
            </v:shape>
          </w:pict>
        </mc:Fallback>
      </mc:AlternateContent>
    </w:r>
    <w:r>
      <w:rPr>
        <w:rStyle w:val="8"/>
        <w:rFonts w:hint="default" w:ascii="Times New Roman" w:hAnsi="Times New Roman" w:cs="Times New Roman"/>
        <w:szCs w:val="21"/>
      </w:rPr>
      <w:t>北京国标联合认证有限公司</w:t>
    </w:r>
  </w:p>
  <w:p>
    <w:pPr>
      <w:pStyle w:val="3"/>
      <w:pBdr>
        <w:bottom w:val="none" w:color="auto" w:sz="0" w:space="0"/>
      </w:pBdr>
      <w:spacing w:line="320" w:lineRule="exact"/>
      <w:ind w:firstLine="246" w:firstLineChars="147"/>
      <w:jc w:val="left"/>
    </w:pPr>
    <w:r>
      <w:rPr>
        <w:rStyle w:val="8"/>
        <w:rFonts w:hint="default" w:ascii="Times New Roman" w:hAnsi="Times New Roman" w:cs="Times New Roman"/>
        <w:w w:val="80"/>
        <w:szCs w:val="21"/>
      </w:rPr>
      <w:t>Beijing International Standard united Certification Co.,Ltd.</w:t>
    </w:r>
  </w:p>
  <w:p>
    <w:pPr>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column">
                <wp:posOffset>-300990</wp:posOffset>
              </wp:positionH>
              <wp:positionV relativeFrom="paragraph">
                <wp:posOffset>29845</wp:posOffset>
              </wp:positionV>
              <wp:extent cx="5849620" cy="8890"/>
              <wp:effectExtent l="0" t="4445" r="5080" b="5715"/>
              <wp:wrapNone/>
              <wp:docPr id="6" name="直线 3"/>
              <wp:cNvGraphicFramePr/>
              <a:graphic xmlns:a="http://schemas.openxmlformats.org/drawingml/2006/main">
                <a:graphicData uri="http://schemas.microsoft.com/office/word/2010/wordprocessingShape">
                  <wps:wsp>
                    <wps:cNvCnPr/>
                    <wps:spPr>
                      <a:xfrm>
                        <a:off x="0" y="0"/>
                        <a:ext cx="5849620"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3.7pt;margin-top:2.35pt;height:0.7pt;width:460.6pt;z-index:251660288;mso-width-relative:page;mso-height-relative:page;" filled="f" stroked="t" coordsize="21600,21600" o:gfxdata="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hE&#10;oADWAAAABwEAAA8AAAAAAAAAAQAgAAAAIgAAAGRycy9kb3ducmV2LnhtbFBLAQIUABQAAAAIAIdO&#10;4kDu97dM7AEAAN4DAAAOAAAAAAAAAAEAIAAAACUBAABkcnMvZTJvRG9jLnhtbFBLBQYAAAAABgAG&#10;AFkBAACDBQAAAAA=&#10;">
              <v:fill on="f" focussize="0,0"/>
              <v:stroke color="#000000" joinstyle="round"/>
              <v:imagedata o:title=""/>
              <o:lock v:ext="edit" aspectratio="f"/>
            </v:line>
          </w:pict>
        </mc:Fallback>
      </mc:AlternateContent>
    </w:r>
    <w:bookmarkEnd w:id="1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26E9FA"/>
    <w:multiLevelType w:val="singleLevel"/>
    <w:tmpl w:val="2626E9FA"/>
    <w:lvl w:ilvl="0" w:tentative="0">
      <w:start w:val="9"/>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705E0"/>
    <w:rsid w:val="0E82129E"/>
    <w:rsid w:val="222D0F7E"/>
    <w:rsid w:val="35E75EEC"/>
    <w:rsid w:val="36AE087D"/>
    <w:rsid w:val="4D5E3526"/>
    <w:rsid w:val="78AF5B3A"/>
    <w:rsid w:val="790B42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 w:type="character" w:customStyle="1" w:styleId="9">
    <w:name w:val="Font Style99"/>
    <w:qFormat/>
    <w:uiPriority w:val="0"/>
    <w:rPr>
      <w:rFonts w:ascii="黑体" w:eastAsia="黑体" w:cs="黑体"/>
      <w:sz w:val="20"/>
      <w:szCs w:val="20"/>
    </w:rPr>
  </w:style>
  <w:style w:type="character" w:customStyle="1" w:styleId="10">
    <w:name w:val="Font Style137"/>
    <w:qFormat/>
    <w:uiPriority w:val="0"/>
    <w:rPr>
      <w:rFonts w:ascii="黑体" w:eastAsia="黑体" w:cs="黑体"/>
      <w:sz w:val="20"/>
      <w:szCs w:val="20"/>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323</Words>
  <Characters>1844</Characters>
  <Lines>15</Lines>
  <Paragraphs>4</Paragraphs>
  <TotalTime>2</TotalTime>
  <ScaleCrop>false</ScaleCrop>
  <LinksUpToDate>false</LinksUpToDate>
  <CharactersWithSpaces>2163</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2015-10-10T03:59:00Z</dcterms:created>
  <dc:creator>alexander chang</dc:creator>
  <cp:lastModifiedBy>李俐</cp:lastModifiedBy>
  <cp:lastPrinted>2017-09-01T06:24:00Z</cp:lastPrinted>
  <dcterms:modified xsi:type="dcterms:W3CDTF">2021-06-15T08:56:07Z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361F77B1C46945118F49276675BDACB5</vt:lpwstr>
  </property>
</Properties>
</file>